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64EBB4" w14:textId="2821AA9D" w:rsidR="00CD6BEB" w:rsidRPr="00DA3764" w:rsidRDefault="00CD6BEB" w:rsidP="00A42770">
      <w:pPr>
        <w:spacing w:after="0" w:line="480" w:lineRule="auto"/>
        <w:rPr>
          <w:rFonts w:ascii="Times New Roman" w:hAnsi="Times New Roman" w:cs="Times New Roman"/>
          <w:b/>
          <w:sz w:val="24"/>
          <w:szCs w:val="24"/>
        </w:rPr>
      </w:pPr>
      <w:r w:rsidRPr="00DA3764">
        <w:rPr>
          <w:rFonts w:ascii="Times New Roman" w:hAnsi="Times New Roman" w:cs="Times New Roman"/>
          <w:b/>
          <w:sz w:val="24"/>
          <w:szCs w:val="24"/>
        </w:rPr>
        <w:t>SUPPLEMENTARY MATERIALS</w:t>
      </w:r>
    </w:p>
    <w:p w14:paraId="7AEEBC36" w14:textId="6B16A991" w:rsidR="00E10781" w:rsidRPr="00DA3764" w:rsidRDefault="003B1AC5" w:rsidP="00700C5D">
      <w:pPr>
        <w:spacing w:after="0" w:line="480" w:lineRule="auto"/>
        <w:rPr>
          <w:rFonts w:ascii="Times New Roman" w:hAnsi="Times New Roman" w:cs="Times New Roman"/>
          <w:b/>
          <w:sz w:val="24"/>
          <w:szCs w:val="24"/>
        </w:rPr>
      </w:pPr>
      <w:r w:rsidRPr="00DA3764">
        <w:rPr>
          <w:rFonts w:ascii="Times New Roman" w:hAnsi="Times New Roman" w:cs="Times New Roman"/>
          <w:b/>
          <w:sz w:val="24"/>
          <w:szCs w:val="24"/>
        </w:rPr>
        <w:t>Supplementary</w:t>
      </w:r>
      <w:r w:rsidR="00CB5B73" w:rsidRPr="00DA3764">
        <w:rPr>
          <w:rFonts w:ascii="Times New Roman" w:hAnsi="Times New Roman" w:cs="Times New Roman"/>
          <w:b/>
          <w:sz w:val="24"/>
          <w:szCs w:val="24"/>
        </w:rPr>
        <w:t xml:space="preserve"> Appendix </w:t>
      </w:r>
    </w:p>
    <w:p w14:paraId="7587ECAD" w14:textId="14497464" w:rsidR="00CA1309" w:rsidRPr="00DA3764" w:rsidRDefault="00CA1309" w:rsidP="00700C5D">
      <w:pPr>
        <w:spacing w:after="0" w:line="480" w:lineRule="auto"/>
        <w:rPr>
          <w:rFonts w:ascii="Times New Roman" w:hAnsi="Times New Roman" w:cs="Times New Roman"/>
          <w:b/>
          <w:sz w:val="24"/>
          <w:szCs w:val="24"/>
        </w:rPr>
      </w:pPr>
    </w:p>
    <w:p w14:paraId="07F04B5F" w14:textId="7F6BDA99" w:rsidR="00CB5B73" w:rsidRPr="00DA3764" w:rsidRDefault="003B1AC5" w:rsidP="00700C5D">
      <w:pPr>
        <w:spacing w:after="0" w:line="480" w:lineRule="auto"/>
        <w:rPr>
          <w:rFonts w:ascii="Times New Roman" w:hAnsi="Times New Roman" w:cs="Times New Roman"/>
          <w:b/>
          <w:sz w:val="24"/>
          <w:szCs w:val="24"/>
        </w:rPr>
      </w:pPr>
      <w:r w:rsidRPr="00DA3764">
        <w:rPr>
          <w:rFonts w:ascii="Times New Roman" w:hAnsi="Times New Roman" w:cs="Times New Roman"/>
          <w:b/>
          <w:sz w:val="24"/>
          <w:szCs w:val="24"/>
        </w:rPr>
        <w:t>Exclusion criteria</w:t>
      </w:r>
    </w:p>
    <w:p w14:paraId="30C6D0C4" w14:textId="053B3D93" w:rsidR="008F624F" w:rsidRPr="00DA3764" w:rsidRDefault="008F624F" w:rsidP="008F624F">
      <w:pPr>
        <w:spacing w:after="0" w:line="480" w:lineRule="auto"/>
        <w:rPr>
          <w:rFonts w:ascii="Times New Roman" w:hAnsi="Times New Roman" w:cs="Times New Roman"/>
          <w:sz w:val="24"/>
          <w:szCs w:val="24"/>
        </w:rPr>
      </w:pPr>
      <w:r w:rsidRPr="00DA3764">
        <w:rPr>
          <w:rFonts w:ascii="Times New Roman" w:hAnsi="Times New Roman" w:cs="Times New Roman"/>
          <w:sz w:val="24"/>
          <w:szCs w:val="24"/>
        </w:rPr>
        <w:t xml:space="preserve">Patients were excluded </w:t>
      </w:r>
      <w:r w:rsidR="00C37AF2" w:rsidRPr="00DA3764">
        <w:rPr>
          <w:rFonts w:ascii="Times New Roman" w:hAnsi="Times New Roman" w:cs="Times New Roman"/>
          <w:sz w:val="24"/>
          <w:szCs w:val="24"/>
        </w:rPr>
        <w:t>from</w:t>
      </w:r>
      <w:r w:rsidRPr="00DA3764">
        <w:rPr>
          <w:rFonts w:ascii="Times New Roman" w:hAnsi="Times New Roman" w:cs="Times New Roman"/>
          <w:sz w:val="24"/>
          <w:szCs w:val="24"/>
        </w:rPr>
        <w:t xml:space="preserve"> this study </w:t>
      </w:r>
      <w:r w:rsidR="00C37AF2" w:rsidRPr="00DA3764">
        <w:rPr>
          <w:rFonts w:ascii="Times New Roman" w:hAnsi="Times New Roman" w:cs="Times New Roman"/>
          <w:sz w:val="24"/>
          <w:szCs w:val="24"/>
        </w:rPr>
        <w:t>for any</w:t>
      </w:r>
      <w:r w:rsidRPr="00DA3764">
        <w:rPr>
          <w:rFonts w:ascii="Times New Roman" w:hAnsi="Times New Roman" w:cs="Times New Roman"/>
          <w:sz w:val="24"/>
          <w:szCs w:val="24"/>
        </w:rPr>
        <w:t xml:space="preserve"> of the following </w:t>
      </w:r>
      <w:r w:rsidR="00C37AF2" w:rsidRPr="00DA3764">
        <w:rPr>
          <w:rFonts w:ascii="Times New Roman" w:hAnsi="Times New Roman" w:cs="Times New Roman"/>
          <w:sz w:val="24"/>
          <w:szCs w:val="24"/>
        </w:rPr>
        <w:t>reasons</w:t>
      </w:r>
      <w:r w:rsidRPr="00DA3764">
        <w:rPr>
          <w:rFonts w:ascii="Times New Roman" w:hAnsi="Times New Roman" w:cs="Times New Roman"/>
          <w:sz w:val="24"/>
          <w:szCs w:val="24"/>
        </w:rPr>
        <w:t>:</w:t>
      </w:r>
    </w:p>
    <w:p w14:paraId="0652956A" w14:textId="1429612D" w:rsidR="00C37AF2" w:rsidRPr="00DA3764" w:rsidRDefault="00C37AF2" w:rsidP="00C37AF2">
      <w:pPr>
        <w:pStyle w:val="Default"/>
        <w:numPr>
          <w:ilvl w:val="0"/>
          <w:numId w:val="20"/>
        </w:numPr>
        <w:spacing w:after="77" w:line="480" w:lineRule="auto"/>
      </w:pPr>
      <w:r w:rsidRPr="00DA3764">
        <w:t xml:space="preserve">History of hypersensitivity to any of the ingredients of the </w:t>
      </w:r>
      <w:r w:rsidR="00C44E1E" w:rsidRPr="00DA3764">
        <w:t>study medication</w:t>
      </w:r>
    </w:p>
    <w:p w14:paraId="163CAD08" w14:textId="33E64613" w:rsidR="008F624F" w:rsidRPr="00DA3764" w:rsidRDefault="00C37AF2" w:rsidP="00C37AF2">
      <w:pPr>
        <w:pStyle w:val="Default"/>
        <w:numPr>
          <w:ilvl w:val="0"/>
          <w:numId w:val="20"/>
        </w:numPr>
        <w:spacing w:line="480" w:lineRule="auto"/>
      </w:pPr>
      <w:r w:rsidRPr="00DA3764">
        <w:t>Received treatment with an anti-TNF agent (</w:t>
      </w:r>
      <w:r w:rsidR="00FB12F0" w:rsidRPr="00DA3764">
        <w:t xml:space="preserve">e.g. </w:t>
      </w:r>
      <w:r w:rsidRPr="00DA3764">
        <w:t xml:space="preserve">infliximab, </w:t>
      </w:r>
      <w:proofErr w:type="spellStart"/>
      <w:r w:rsidRPr="00DA3764">
        <w:t>etanercept</w:t>
      </w:r>
      <w:proofErr w:type="spellEnd"/>
      <w:r w:rsidRPr="00DA3764">
        <w:t xml:space="preserve">, </w:t>
      </w:r>
      <w:proofErr w:type="spellStart"/>
      <w:r w:rsidRPr="00DA3764">
        <w:t>adalimumab</w:t>
      </w:r>
      <w:proofErr w:type="spellEnd"/>
      <w:r w:rsidRPr="00DA3764">
        <w:t xml:space="preserve">, </w:t>
      </w:r>
      <w:proofErr w:type="spellStart"/>
      <w:r w:rsidRPr="00DA3764">
        <w:t>golimumab</w:t>
      </w:r>
      <w:proofErr w:type="spellEnd"/>
      <w:r w:rsidRPr="00DA3764">
        <w:t xml:space="preserve">, </w:t>
      </w:r>
      <w:proofErr w:type="spellStart"/>
      <w:r w:rsidRPr="00DA3764">
        <w:t>certolizumab</w:t>
      </w:r>
      <w:proofErr w:type="spellEnd"/>
      <w:r w:rsidRPr="00DA3764">
        <w:t xml:space="preserve"> </w:t>
      </w:r>
      <w:proofErr w:type="spellStart"/>
      <w:r w:rsidRPr="00DA3764">
        <w:t>pegol</w:t>
      </w:r>
      <w:proofErr w:type="spellEnd"/>
      <w:r w:rsidRPr="00DA3764">
        <w:t>) or another biological product (</w:t>
      </w:r>
      <w:r w:rsidR="00FB12F0" w:rsidRPr="00DA3764">
        <w:t xml:space="preserve">e.g. </w:t>
      </w:r>
      <w:proofErr w:type="spellStart"/>
      <w:r w:rsidRPr="00DA3764">
        <w:t>abatacept</w:t>
      </w:r>
      <w:proofErr w:type="spellEnd"/>
      <w:r w:rsidRPr="00DA3764">
        <w:t xml:space="preserve">) within 12 weeks before the first dose of </w:t>
      </w:r>
      <w:r w:rsidR="00846EB7" w:rsidRPr="00DA3764">
        <w:t>study medication</w:t>
      </w:r>
    </w:p>
    <w:p w14:paraId="4CA529DA" w14:textId="1328CBB8" w:rsidR="00C37AF2" w:rsidRPr="00DA3764" w:rsidRDefault="00C37AF2" w:rsidP="00C37AF2">
      <w:pPr>
        <w:pStyle w:val="Default"/>
        <w:numPr>
          <w:ilvl w:val="0"/>
          <w:numId w:val="20"/>
        </w:numPr>
        <w:spacing w:line="480" w:lineRule="auto"/>
      </w:pPr>
      <w:r w:rsidRPr="00DA3764">
        <w:t xml:space="preserve">Previously received </w:t>
      </w:r>
      <w:proofErr w:type="spellStart"/>
      <w:r w:rsidRPr="00DA3764">
        <w:t>tocilizumab</w:t>
      </w:r>
      <w:proofErr w:type="spellEnd"/>
    </w:p>
    <w:p w14:paraId="416466C6" w14:textId="543EB51C" w:rsidR="00C37AF2" w:rsidRPr="00DA3764" w:rsidRDefault="00C37AF2" w:rsidP="00C37AF2">
      <w:pPr>
        <w:pStyle w:val="Default"/>
        <w:numPr>
          <w:ilvl w:val="0"/>
          <w:numId w:val="20"/>
        </w:numPr>
        <w:spacing w:line="480" w:lineRule="auto"/>
      </w:pPr>
      <w:r w:rsidRPr="00DA3764">
        <w:t>Previously treated with cell-depleting therapies</w:t>
      </w:r>
      <w:r w:rsidR="00771A12">
        <w:t>,</w:t>
      </w:r>
      <w:r w:rsidRPr="00DA3764">
        <w:t xml:space="preserve"> including investigational new drugs such as rituximab and muromonab-CD3</w:t>
      </w:r>
      <w:r w:rsidR="00771A12">
        <w:t>,</w:t>
      </w:r>
      <w:r w:rsidRPr="00DA3764">
        <w:t xml:space="preserve"> and the depleted cell count ha</w:t>
      </w:r>
      <w:r w:rsidR="00FB12F0" w:rsidRPr="00DA3764">
        <w:t>d</w:t>
      </w:r>
      <w:r w:rsidRPr="00DA3764">
        <w:t xml:space="preserve"> not returned to </w:t>
      </w:r>
      <w:r w:rsidR="00EE0CEC" w:rsidRPr="00DA3764">
        <w:t>normal by study start</w:t>
      </w:r>
    </w:p>
    <w:p w14:paraId="43C79FE8" w14:textId="411667DF" w:rsidR="00C37AF2" w:rsidRPr="00DA3764" w:rsidRDefault="00C37AF2" w:rsidP="00C37AF2">
      <w:pPr>
        <w:pStyle w:val="Default"/>
        <w:numPr>
          <w:ilvl w:val="0"/>
          <w:numId w:val="20"/>
        </w:numPr>
        <w:spacing w:line="480" w:lineRule="auto"/>
      </w:pPr>
      <w:r w:rsidRPr="00DA3764">
        <w:t xml:space="preserve">Treated with methotrexate within 4 weeks before the first dose of </w:t>
      </w:r>
      <w:r w:rsidR="00846EB7" w:rsidRPr="00DA3764">
        <w:t>study treatment</w:t>
      </w:r>
    </w:p>
    <w:p w14:paraId="1F1C0625" w14:textId="139BA105" w:rsidR="00C37AF2" w:rsidRPr="00DA3764" w:rsidRDefault="00C37AF2" w:rsidP="00C37AF2">
      <w:pPr>
        <w:pStyle w:val="Default"/>
        <w:numPr>
          <w:ilvl w:val="0"/>
          <w:numId w:val="20"/>
        </w:numPr>
        <w:spacing w:line="480" w:lineRule="auto"/>
      </w:pPr>
      <w:r w:rsidRPr="00DA3764">
        <w:t xml:space="preserve">Treated with any of the following within 2 weeks before the first dose of </w:t>
      </w:r>
      <w:r w:rsidR="00846EB7" w:rsidRPr="00DA3764">
        <w:t>study medication</w:t>
      </w:r>
    </w:p>
    <w:p w14:paraId="022CC1EE" w14:textId="2B8E8CC7" w:rsidR="00C37AF2" w:rsidRPr="00DA3764" w:rsidRDefault="00C37AF2" w:rsidP="006F60FB">
      <w:pPr>
        <w:pStyle w:val="Default"/>
        <w:numPr>
          <w:ilvl w:val="1"/>
          <w:numId w:val="20"/>
        </w:numPr>
        <w:spacing w:line="480" w:lineRule="auto"/>
      </w:pPr>
      <w:r w:rsidRPr="00DA3764">
        <w:t xml:space="preserve">Intravenous, intramuscular or suppository administration of a </w:t>
      </w:r>
      <w:r w:rsidR="00FB12F0" w:rsidRPr="00DA3764">
        <w:t>glucocorticoid</w:t>
      </w:r>
    </w:p>
    <w:p w14:paraId="785084F9" w14:textId="2778012B" w:rsidR="00C37AF2" w:rsidRPr="00DA3764" w:rsidRDefault="00C37AF2" w:rsidP="006F60FB">
      <w:pPr>
        <w:pStyle w:val="Default"/>
        <w:numPr>
          <w:ilvl w:val="1"/>
          <w:numId w:val="20"/>
        </w:numPr>
        <w:spacing w:line="480" w:lineRule="auto"/>
      </w:pPr>
      <w:r w:rsidRPr="00DA3764">
        <w:t>DMARD or immunosuppressant</w:t>
      </w:r>
    </w:p>
    <w:p w14:paraId="41D19B33" w14:textId="5715AAAF" w:rsidR="00C37AF2" w:rsidRPr="00DA3764" w:rsidRDefault="00C37AF2" w:rsidP="006F60FB">
      <w:pPr>
        <w:pStyle w:val="Default"/>
        <w:numPr>
          <w:ilvl w:val="1"/>
          <w:numId w:val="20"/>
        </w:numPr>
        <w:spacing w:line="480" w:lineRule="auto"/>
      </w:pPr>
      <w:proofErr w:type="spellStart"/>
      <w:r w:rsidRPr="00DA3764">
        <w:t>Plasmapheresis</w:t>
      </w:r>
      <w:proofErr w:type="spellEnd"/>
      <w:r w:rsidRPr="00DA3764">
        <w:t xml:space="preserve"> (</w:t>
      </w:r>
      <w:r w:rsidR="00EE0CEC" w:rsidRPr="00DA3764">
        <w:t xml:space="preserve">e.g. </w:t>
      </w:r>
      <w:proofErr w:type="spellStart"/>
      <w:r w:rsidRPr="00DA3764">
        <w:t>leukapheresis</w:t>
      </w:r>
      <w:proofErr w:type="spellEnd"/>
      <w:r w:rsidRPr="00DA3764">
        <w:t>)</w:t>
      </w:r>
    </w:p>
    <w:p w14:paraId="52E2D3BC" w14:textId="2E4C2C9C" w:rsidR="00C37AF2" w:rsidRPr="00DA3764" w:rsidRDefault="00771A12" w:rsidP="006F60FB">
      <w:pPr>
        <w:pStyle w:val="Default"/>
        <w:numPr>
          <w:ilvl w:val="1"/>
          <w:numId w:val="20"/>
        </w:numPr>
        <w:spacing w:line="480" w:lineRule="auto"/>
      </w:pPr>
      <w:r>
        <w:t>Surgery</w:t>
      </w:r>
      <w:r w:rsidR="00C37AF2" w:rsidRPr="00DA3764">
        <w:t xml:space="preserve"> (excluding local </w:t>
      </w:r>
      <w:r>
        <w:t>procedure</w:t>
      </w:r>
      <w:r w:rsidRPr="00DA3764">
        <w:t xml:space="preserve"> </w:t>
      </w:r>
      <w:r w:rsidR="00C37AF2" w:rsidRPr="00DA3764">
        <w:t>such as cataract surgery)</w:t>
      </w:r>
    </w:p>
    <w:p w14:paraId="47A07F4F" w14:textId="3B582919" w:rsidR="00C37AF2" w:rsidRPr="00DA3764" w:rsidRDefault="00C37AF2" w:rsidP="00C37AF2">
      <w:pPr>
        <w:pStyle w:val="Default"/>
        <w:numPr>
          <w:ilvl w:val="0"/>
          <w:numId w:val="20"/>
        </w:numPr>
        <w:spacing w:line="480" w:lineRule="auto"/>
      </w:pPr>
      <w:r w:rsidRPr="00DA3764">
        <w:t>Routinely use</w:t>
      </w:r>
      <w:r w:rsidR="00EE0CEC" w:rsidRPr="00DA3764">
        <w:t>d</w:t>
      </w:r>
      <w:r w:rsidRPr="00DA3764">
        <w:t xml:space="preserve"> a </w:t>
      </w:r>
      <w:r w:rsidR="00FB12F0" w:rsidRPr="00DA3764">
        <w:t xml:space="preserve">glucocorticoid </w:t>
      </w:r>
      <w:r w:rsidRPr="00DA3764">
        <w:t>(</w:t>
      </w:r>
      <w:r w:rsidR="00846EB7" w:rsidRPr="00DA3764">
        <w:t xml:space="preserve">other than </w:t>
      </w:r>
      <w:r w:rsidRPr="00DA3764">
        <w:t xml:space="preserve">local therapy with a topical agent) for a condition other than </w:t>
      </w:r>
      <w:proofErr w:type="spellStart"/>
      <w:r w:rsidRPr="00DA3764">
        <w:t>Takayasu</w:t>
      </w:r>
      <w:proofErr w:type="spellEnd"/>
      <w:r w:rsidRPr="00DA3764">
        <w:t xml:space="preserve"> arteritis and deemed </w:t>
      </w:r>
      <w:r w:rsidR="00837E96" w:rsidRPr="00DA3764">
        <w:t xml:space="preserve">unsuitable as a study subject </w:t>
      </w:r>
      <w:r w:rsidRPr="00DA3764">
        <w:t>by the investigator</w:t>
      </w:r>
    </w:p>
    <w:p w14:paraId="735AEC6B" w14:textId="41D74AA6" w:rsidR="00C37AF2" w:rsidRPr="00DA3764" w:rsidRDefault="00793B07" w:rsidP="00793B07">
      <w:pPr>
        <w:pStyle w:val="Default"/>
        <w:numPr>
          <w:ilvl w:val="0"/>
          <w:numId w:val="20"/>
        </w:numPr>
        <w:spacing w:line="480" w:lineRule="auto"/>
      </w:pPr>
      <w:r w:rsidRPr="00DA3764">
        <w:lastRenderedPageBreak/>
        <w:t xml:space="preserve">Any of the following criteria in tests conducted within 2 weeks before the first dose of </w:t>
      </w:r>
      <w:r w:rsidR="00846EB7" w:rsidRPr="00DA3764">
        <w:t>study treatment</w:t>
      </w:r>
    </w:p>
    <w:p w14:paraId="5020888B" w14:textId="7F74E33A" w:rsidR="00793B07" w:rsidRPr="00DA3764" w:rsidRDefault="00793B07" w:rsidP="006F60FB">
      <w:pPr>
        <w:pStyle w:val="Default"/>
        <w:numPr>
          <w:ilvl w:val="1"/>
          <w:numId w:val="20"/>
        </w:numPr>
        <w:spacing w:line="480" w:lineRule="auto"/>
      </w:pPr>
      <w:r w:rsidRPr="00DA3764">
        <w:t>WBC count: &lt;4000/</w:t>
      </w:r>
      <w:proofErr w:type="spellStart"/>
      <w:r w:rsidRPr="00DA3764">
        <w:t>μL</w:t>
      </w:r>
      <w:proofErr w:type="spellEnd"/>
    </w:p>
    <w:p w14:paraId="423E1BE9" w14:textId="17F357CD" w:rsidR="00793B07" w:rsidRPr="00DA3764" w:rsidRDefault="00793B07" w:rsidP="006F60FB">
      <w:pPr>
        <w:pStyle w:val="Default"/>
        <w:numPr>
          <w:ilvl w:val="1"/>
          <w:numId w:val="20"/>
        </w:numPr>
        <w:spacing w:line="480" w:lineRule="auto"/>
      </w:pPr>
      <w:r w:rsidRPr="00DA3764">
        <w:t>Neutrophil count: &lt;1000/</w:t>
      </w:r>
      <w:proofErr w:type="spellStart"/>
      <w:r w:rsidRPr="00DA3764">
        <w:t>μL</w:t>
      </w:r>
      <w:proofErr w:type="spellEnd"/>
    </w:p>
    <w:p w14:paraId="6D7C17F4" w14:textId="5A9EEE8A" w:rsidR="00793B07" w:rsidRPr="00DA3764" w:rsidRDefault="00793B07" w:rsidP="006F60FB">
      <w:pPr>
        <w:pStyle w:val="Default"/>
        <w:numPr>
          <w:ilvl w:val="1"/>
          <w:numId w:val="20"/>
        </w:numPr>
        <w:spacing w:line="480" w:lineRule="auto"/>
      </w:pPr>
      <w:r w:rsidRPr="00DA3764">
        <w:t>Lymphocyte count: &lt;500/</w:t>
      </w:r>
      <w:proofErr w:type="spellStart"/>
      <w:r w:rsidRPr="00DA3764">
        <w:t>μL</w:t>
      </w:r>
      <w:proofErr w:type="spellEnd"/>
    </w:p>
    <w:p w14:paraId="1E320684" w14:textId="73F28695" w:rsidR="00793B07" w:rsidRPr="00DA3764" w:rsidRDefault="00793B07" w:rsidP="006F60FB">
      <w:pPr>
        <w:pStyle w:val="Default"/>
        <w:numPr>
          <w:ilvl w:val="1"/>
          <w:numId w:val="20"/>
        </w:numPr>
        <w:spacing w:line="480" w:lineRule="auto"/>
      </w:pPr>
      <w:r w:rsidRPr="00DA3764">
        <w:t>Platelet count: &lt;10 × 10</w:t>
      </w:r>
      <w:r w:rsidRPr="00DA3764">
        <w:rPr>
          <w:vertAlign w:val="superscript"/>
        </w:rPr>
        <w:t>4</w:t>
      </w:r>
      <w:r w:rsidRPr="00DA3764">
        <w:t>/</w:t>
      </w:r>
      <w:proofErr w:type="spellStart"/>
      <w:r w:rsidRPr="00DA3764">
        <w:t>μL</w:t>
      </w:r>
      <w:proofErr w:type="spellEnd"/>
    </w:p>
    <w:p w14:paraId="636A7743" w14:textId="6C2A9C4F" w:rsidR="00793B07" w:rsidRPr="00DA3764" w:rsidRDefault="00846EB7" w:rsidP="00793B07">
      <w:pPr>
        <w:pStyle w:val="Default"/>
        <w:numPr>
          <w:ilvl w:val="0"/>
          <w:numId w:val="20"/>
        </w:numPr>
        <w:spacing w:line="480" w:lineRule="auto"/>
      </w:pPr>
      <w:r w:rsidRPr="00DA3764">
        <w:t>A</w:t>
      </w:r>
      <w:r w:rsidR="00793B07" w:rsidRPr="00DA3764">
        <w:t>ctive tuberculosis (</w:t>
      </w:r>
      <w:r w:rsidRPr="00DA3764">
        <w:t xml:space="preserve">other than </w:t>
      </w:r>
      <w:r w:rsidR="00793B07" w:rsidRPr="00DA3764">
        <w:t>patients undergoing prophylactic chemotherapy for latent tuberculosis infection)</w:t>
      </w:r>
    </w:p>
    <w:p w14:paraId="47D7449B" w14:textId="402D8869" w:rsidR="00793B07" w:rsidRPr="00DA3764" w:rsidRDefault="00846EB7" w:rsidP="00793B07">
      <w:pPr>
        <w:pStyle w:val="Default"/>
        <w:numPr>
          <w:ilvl w:val="0"/>
          <w:numId w:val="20"/>
        </w:numPr>
        <w:spacing w:line="480" w:lineRule="auto"/>
      </w:pPr>
      <w:r w:rsidRPr="00DA3764">
        <w:t>I</w:t>
      </w:r>
      <w:r w:rsidR="00793B07" w:rsidRPr="00DA3764">
        <w:t xml:space="preserve">nterstitial pneumonia and deemed </w:t>
      </w:r>
      <w:r w:rsidR="00837E96" w:rsidRPr="00DA3764">
        <w:t xml:space="preserve">unsuitable as a study subject </w:t>
      </w:r>
      <w:r w:rsidR="00793B07" w:rsidRPr="00DA3764">
        <w:t>by the investigator</w:t>
      </w:r>
    </w:p>
    <w:p w14:paraId="286FC4ED" w14:textId="2DD7064D" w:rsidR="00793B07" w:rsidRPr="00DA3764" w:rsidRDefault="00793B07" w:rsidP="00793B07">
      <w:pPr>
        <w:pStyle w:val="Default"/>
        <w:numPr>
          <w:ilvl w:val="0"/>
          <w:numId w:val="20"/>
        </w:numPr>
        <w:spacing w:line="480" w:lineRule="auto"/>
      </w:pPr>
      <w:r w:rsidRPr="00DA3764">
        <w:t xml:space="preserve">History of intestinal diverticulum or periodic melena and deemed </w:t>
      </w:r>
      <w:r w:rsidR="00837E96" w:rsidRPr="00DA3764">
        <w:t xml:space="preserve">unsuitable as a study subject </w:t>
      </w:r>
      <w:r w:rsidRPr="00DA3764">
        <w:t>by the investigator</w:t>
      </w:r>
    </w:p>
    <w:p w14:paraId="62E29109" w14:textId="65E51457" w:rsidR="00793B07" w:rsidRPr="00DA3764" w:rsidRDefault="00EE0CEC" w:rsidP="00793B07">
      <w:pPr>
        <w:pStyle w:val="Default"/>
        <w:numPr>
          <w:ilvl w:val="0"/>
          <w:numId w:val="20"/>
        </w:numPr>
        <w:spacing w:line="480" w:lineRule="auto"/>
      </w:pPr>
      <w:r w:rsidRPr="00DA3764">
        <w:t>S</w:t>
      </w:r>
      <w:r w:rsidR="00793B07" w:rsidRPr="00DA3764">
        <w:t xml:space="preserve">cheduled to have surgery for </w:t>
      </w:r>
      <w:proofErr w:type="spellStart"/>
      <w:r w:rsidR="00793B07" w:rsidRPr="00DA3764">
        <w:t>Takayasu</w:t>
      </w:r>
      <w:proofErr w:type="spellEnd"/>
      <w:r w:rsidR="00793B07" w:rsidRPr="00DA3764">
        <w:t xml:space="preserve"> arteritis during the study period</w:t>
      </w:r>
    </w:p>
    <w:p w14:paraId="28E2F76A" w14:textId="2D198FDD" w:rsidR="00793B07" w:rsidRPr="00DA3764" w:rsidRDefault="00EE0CEC" w:rsidP="00793B07">
      <w:pPr>
        <w:pStyle w:val="Default"/>
        <w:numPr>
          <w:ilvl w:val="0"/>
          <w:numId w:val="20"/>
        </w:numPr>
        <w:spacing w:line="480" w:lineRule="auto"/>
      </w:pPr>
      <w:r w:rsidRPr="00DA3764">
        <w:t>A</w:t>
      </w:r>
      <w:r w:rsidR="00793B07" w:rsidRPr="00DA3764">
        <w:t xml:space="preserve">ctive hepatitis B or C at tests at </w:t>
      </w:r>
      <w:r w:rsidR="00837E96">
        <w:t>enrolment</w:t>
      </w:r>
      <w:r w:rsidR="00837E96" w:rsidRPr="00DA3764">
        <w:t xml:space="preserve"> </w:t>
      </w:r>
      <w:r w:rsidR="00793B07" w:rsidRPr="00DA3764">
        <w:t>or history of hepatitis B</w:t>
      </w:r>
    </w:p>
    <w:p w14:paraId="263A5BA0" w14:textId="4697D807" w:rsidR="00793B07" w:rsidRPr="00DA3764" w:rsidRDefault="00837E96" w:rsidP="00793B07">
      <w:pPr>
        <w:pStyle w:val="Default"/>
        <w:numPr>
          <w:ilvl w:val="0"/>
          <w:numId w:val="20"/>
        </w:numPr>
        <w:spacing w:line="480" w:lineRule="auto"/>
      </w:pPr>
      <w:proofErr w:type="spellStart"/>
      <w:r>
        <w:t>Immunised</w:t>
      </w:r>
      <w:proofErr w:type="spellEnd"/>
      <w:r w:rsidRPr="00DA3764">
        <w:t xml:space="preserve"> </w:t>
      </w:r>
      <w:r w:rsidR="00793B07" w:rsidRPr="00DA3764">
        <w:t xml:space="preserve">with a live vaccine within 6 weeks before the first dose of </w:t>
      </w:r>
      <w:r w:rsidR="00846EB7" w:rsidRPr="00DA3764">
        <w:t>study treatment</w:t>
      </w:r>
    </w:p>
    <w:p w14:paraId="27D9D2DB" w14:textId="52097357" w:rsidR="00793B07" w:rsidRPr="00DA3764" w:rsidRDefault="00793B07" w:rsidP="00793B07">
      <w:pPr>
        <w:pStyle w:val="Default"/>
        <w:numPr>
          <w:ilvl w:val="0"/>
          <w:numId w:val="20"/>
        </w:numPr>
        <w:spacing w:line="480" w:lineRule="auto"/>
      </w:pPr>
      <w:r w:rsidRPr="00DA3764">
        <w:t xml:space="preserve">Diagnosed with a malignant tumor within 5 years before the first dose of </w:t>
      </w:r>
      <w:r w:rsidR="00846EB7" w:rsidRPr="00DA3764">
        <w:t>study treatment</w:t>
      </w:r>
    </w:p>
    <w:p w14:paraId="6A7AEB35" w14:textId="0A517A0C" w:rsidR="00793B07" w:rsidRPr="00DA3764" w:rsidRDefault="00846EB7" w:rsidP="00793B07">
      <w:pPr>
        <w:pStyle w:val="Default"/>
        <w:numPr>
          <w:ilvl w:val="0"/>
          <w:numId w:val="20"/>
        </w:numPr>
        <w:spacing w:line="480" w:lineRule="auto"/>
      </w:pPr>
      <w:r w:rsidRPr="00DA3764">
        <w:t>S</w:t>
      </w:r>
      <w:r w:rsidR="00793B07" w:rsidRPr="00DA3764">
        <w:t>erious concurrent disease and deemed unsuitable as a study subject by the investigator</w:t>
      </w:r>
    </w:p>
    <w:p w14:paraId="089E2D52" w14:textId="4A476F64" w:rsidR="00793B07" w:rsidRPr="00DA3764" w:rsidRDefault="00846EB7" w:rsidP="00793B07">
      <w:pPr>
        <w:pStyle w:val="Default"/>
        <w:numPr>
          <w:ilvl w:val="0"/>
          <w:numId w:val="20"/>
        </w:numPr>
        <w:spacing w:line="480" w:lineRule="auto"/>
      </w:pPr>
      <w:r w:rsidRPr="00DA3764">
        <w:t>O</w:t>
      </w:r>
      <w:r w:rsidR="00793B07" w:rsidRPr="00DA3764">
        <w:t xml:space="preserve">bvious infection within 4 weeks before the first dose of </w:t>
      </w:r>
      <w:r w:rsidRPr="00DA3764">
        <w:t>study treatment</w:t>
      </w:r>
      <w:r w:rsidR="00793B07" w:rsidRPr="00DA3764">
        <w:t xml:space="preserve"> and deemed </w:t>
      </w:r>
      <w:r w:rsidR="00837E96" w:rsidRPr="00DA3764">
        <w:t xml:space="preserve">unsuitable as a study subject </w:t>
      </w:r>
      <w:r w:rsidR="00793B07" w:rsidRPr="00DA3764">
        <w:t>by the investigator</w:t>
      </w:r>
    </w:p>
    <w:p w14:paraId="373D46D5" w14:textId="5ABFC18A" w:rsidR="00793B07" w:rsidRPr="00DA3764" w:rsidRDefault="00EE0CEC" w:rsidP="00793B07">
      <w:pPr>
        <w:pStyle w:val="Default"/>
        <w:numPr>
          <w:ilvl w:val="0"/>
          <w:numId w:val="20"/>
        </w:numPr>
        <w:spacing w:line="480" w:lineRule="auto"/>
      </w:pPr>
      <w:r w:rsidRPr="00DA3764">
        <w:t>Women who were</w:t>
      </w:r>
      <w:r w:rsidR="00793B07" w:rsidRPr="00DA3764">
        <w:t xml:space="preserve"> pregnant or lactating, premenopausal or </w:t>
      </w:r>
      <w:r w:rsidRPr="00DA3764">
        <w:t>&lt;</w:t>
      </w:r>
      <w:r w:rsidR="00793B07" w:rsidRPr="00DA3764">
        <w:t xml:space="preserve">1 year postmenopausal and </w:t>
      </w:r>
      <w:r w:rsidR="00C8544A">
        <w:t>had a positive pregnancy test</w:t>
      </w:r>
      <w:r w:rsidR="00793B07" w:rsidRPr="00DA3764">
        <w:t>, or unwilling to use contraception</w:t>
      </w:r>
    </w:p>
    <w:p w14:paraId="5F35EE66" w14:textId="1C11ACC5" w:rsidR="00CA1309" w:rsidRPr="00DA3764" w:rsidRDefault="00837E96" w:rsidP="00CA1309">
      <w:pPr>
        <w:pStyle w:val="Default"/>
        <w:numPr>
          <w:ilvl w:val="0"/>
          <w:numId w:val="20"/>
        </w:numPr>
        <w:spacing w:line="480" w:lineRule="auto"/>
      </w:pPr>
      <w:r>
        <w:lastRenderedPageBreak/>
        <w:t>U</w:t>
      </w:r>
      <w:r w:rsidR="00793B07" w:rsidRPr="00DA3764">
        <w:t xml:space="preserve">sed another investigational new drug within 6 months before the first dose of </w:t>
      </w:r>
      <w:r w:rsidR="00846EB7" w:rsidRPr="00DA3764">
        <w:t>study treatment</w:t>
      </w:r>
    </w:p>
    <w:p w14:paraId="3A21EC9A" w14:textId="6D1DCF31" w:rsidR="00793B07" w:rsidRPr="00DA3764" w:rsidRDefault="00793B07" w:rsidP="00CA1309">
      <w:pPr>
        <w:pStyle w:val="Default"/>
        <w:numPr>
          <w:ilvl w:val="0"/>
          <w:numId w:val="20"/>
        </w:numPr>
        <w:spacing w:line="480" w:lineRule="auto"/>
      </w:pPr>
      <w:r w:rsidRPr="00DA3764">
        <w:t xml:space="preserve">Deemed </w:t>
      </w:r>
      <w:r w:rsidR="00837E96" w:rsidRPr="00DA3764">
        <w:t xml:space="preserve">unsuitable as a study subject </w:t>
      </w:r>
      <w:r w:rsidRPr="00DA3764">
        <w:t>by the investigator for another reason</w:t>
      </w:r>
    </w:p>
    <w:p w14:paraId="159453FD" w14:textId="76E72FD9" w:rsidR="009B419E" w:rsidRDefault="009B419E" w:rsidP="003E3CEE">
      <w:pPr>
        <w:spacing w:line="480" w:lineRule="auto"/>
        <w:rPr>
          <w:rFonts w:ascii="Times New Roman" w:hAnsi="Times New Roman" w:cs="Times New Roman"/>
          <w:b/>
          <w:sz w:val="24"/>
          <w:szCs w:val="24"/>
        </w:rPr>
      </w:pPr>
    </w:p>
    <w:p w14:paraId="5908554B" w14:textId="77777777" w:rsidR="00D61CC2" w:rsidRDefault="00D61CC2" w:rsidP="00D61CC2">
      <w:pPr>
        <w:spacing w:line="480" w:lineRule="auto"/>
        <w:rPr>
          <w:rFonts w:ascii="Times New Roman" w:hAnsi="Times New Roman" w:cs="Times New Roman"/>
          <w:b/>
          <w:sz w:val="24"/>
          <w:szCs w:val="24"/>
        </w:rPr>
      </w:pPr>
      <w:r>
        <w:rPr>
          <w:rFonts w:ascii="Times New Roman" w:hAnsi="Times New Roman" w:cs="Times New Roman"/>
          <w:b/>
          <w:sz w:val="24"/>
          <w:szCs w:val="24"/>
        </w:rPr>
        <w:t>Imaging protocol</w:t>
      </w:r>
    </w:p>
    <w:p w14:paraId="2FBD03A0" w14:textId="77777777" w:rsidR="00D61CC2" w:rsidRDefault="00D61CC2" w:rsidP="00D61CC2">
      <w:pPr>
        <w:spacing w:line="480" w:lineRule="auto"/>
        <w:rPr>
          <w:rFonts w:ascii="Times New Roman" w:hAnsi="Times New Roman" w:cs="Times New Roman"/>
          <w:i/>
          <w:sz w:val="24"/>
          <w:szCs w:val="24"/>
        </w:rPr>
      </w:pPr>
      <w:r w:rsidRPr="00A726F1">
        <w:rPr>
          <w:rFonts w:ascii="Times New Roman" w:hAnsi="Times New Roman" w:cs="Times New Roman"/>
          <w:i/>
          <w:sz w:val="24"/>
          <w:szCs w:val="24"/>
        </w:rPr>
        <w:t>Contrast-enhanced computed tomography (CECT)</w:t>
      </w:r>
    </w:p>
    <w:p w14:paraId="3415270F" w14:textId="0F6E02AF" w:rsidR="00A91654" w:rsidRPr="00A345C8" w:rsidRDefault="00D61CC2" w:rsidP="00A91654">
      <w:pPr>
        <w:spacing w:line="480" w:lineRule="auto"/>
        <w:rPr>
          <w:rFonts w:ascii="Times New Roman" w:hAnsi="Times New Roman" w:cs="Times New Roman"/>
          <w:sz w:val="24"/>
          <w:szCs w:val="24"/>
        </w:rPr>
      </w:pPr>
      <w:r w:rsidRPr="00A345C8">
        <w:rPr>
          <w:rFonts w:ascii="Times New Roman" w:hAnsi="Times New Roman" w:cs="Times New Roman"/>
          <w:sz w:val="24"/>
          <w:szCs w:val="24"/>
        </w:rPr>
        <w:t>Sequential CT scans were obtained using a 64-detector-row CT scanner.</w:t>
      </w:r>
      <w:r w:rsidR="00A91654" w:rsidRPr="00A345C8">
        <w:rPr>
          <w:rFonts w:ascii="Times New Roman" w:hAnsi="Times New Roman" w:cs="Times New Roman"/>
          <w:sz w:val="24"/>
          <w:szCs w:val="24"/>
        </w:rPr>
        <w:t xml:space="preserve"> The CT protocol was as follows: detector collimation, 0.5 mm; matrix size, 512 </w:t>
      </w:r>
      <w:r w:rsidR="00A91654" w:rsidRPr="00A345C8">
        <w:rPr>
          <w:rFonts w:ascii="Times New Roman" w:hAnsi="Times New Roman" w:cs="Times New Roman"/>
          <w:sz w:val="24"/>
          <w:szCs w:val="24"/>
        </w:rPr>
        <w:sym w:font="Symbol" w:char="F0B4"/>
      </w:r>
      <w:r w:rsidR="00A91654" w:rsidRPr="00A345C8">
        <w:rPr>
          <w:rFonts w:ascii="Times New Roman" w:hAnsi="Times New Roman" w:cs="Times New Roman"/>
          <w:sz w:val="24"/>
          <w:szCs w:val="24"/>
        </w:rPr>
        <w:t xml:space="preserve"> 512 pixels; field of view, 34.5 cm; X-ray voltage, 120 </w:t>
      </w:r>
      <w:proofErr w:type="spellStart"/>
      <w:r w:rsidR="00A91654" w:rsidRPr="00A345C8">
        <w:rPr>
          <w:rFonts w:ascii="Times New Roman" w:hAnsi="Times New Roman" w:cs="Times New Roman"/>
          <w:sz w:val="24"/>
          <w:szCs w:val="24"/>
        </w:rPr>
        <w:t>kVp</w:t>
      </w:r>
      <w:proofErr w:type="spellEnd"/>
      <w:r w:rsidR="00A91654" w:rsidRPr="00A345C8">
        <w:rPr>
          <w:rFonts w:ascii="Times New Roman" w:hAnsi="Times New Roman" w:cs="Times New Roman"/>
          <w:sz w:val="24"/>
          <w:szCs w:val="24"/>
        </w:rPr>
        <w:t>; tube current, Auto mA; noise index, 10. The scan length was from 2 cm above the apex of the lungs to below the ischium. Axial CT images of 1.0</w:t>
      </w:r>
      <w:r w:rsidR="00AA6350">
        <w:rPr>
          <w:rFonts w:ascii="Times New Roman" w:hAnsi="Times New Roman" w:cs="Times New Roman"/>
          <w:sz w:val="24"/>
          <w:szCs w:val="24"/>
        </w:rPr>
        <w:t>-</w:t>
      </w:r>
      <w:r w:rsidR="00A91654" w:rsidRPr="00A345C8">
        <w:rPr>
          <w:rFonts w:ascii="Times New Roman" w:hAnsi="Times New Roman" w:cs="Times New Roman"/>
          <w:sz w:val="24"/>
          <w:szCs w:val="24"/>
        </w:rPr>
        <w:t>mm and 5.0</w:t>
      </w:r>
      <w:r w:rsidR="00AA6350">
        <w:rPr>
          <w:rFonts w:ascii="Times New Roman" w:hAnsi="Times New Roman" w:cs="Times New Roman"/>
          <w:sz w:val="24"/>
          <w:szCs w:val="24"/>
        </w:rPr>
        <w:t>-</w:t>
      </w:r>
      <w:r w:rsidR="00A91654" w:rsidRPr="00A345C8">
        <w:rPr>
          <w:rFonts w:ascii="Times New Roman" w:hAnsi="Times New Roman" w:cs="Times New Roman"/>
          <w:sz w:val="24"/>
          <w:szCs w:val="24"/>
        </w:rPr>
        <w:t>mm thickness were reconstructed. A power injector was used for bolus administration of 100</w:t>
      </w:r>
      <w:r w:rsidR="00AA6350">
        <w:rPr>
          <w:rFonts w:ascii="Times New Roman" w:hAnsi="Times New Roman" w:cs="Times New Roman"/>
          <w:sz w:val="24"/>
          <w:szCs w:val="24"/>
        </w:rPr>
        <w:t xml:space="preserve"> to </w:t>
      </w:r>
      <w:r w:rsidR="00A91654" w:rsidRPr="00A345C8">
        <w:rPr>
          <w:rFonts w:ascii="Times New Roman" w:hAnsi="Times New Roman" w:cs="Times New Roman"/>
          <w:sz w:val="24"/>
          <w:szCs w:val="24"/>
        </w:rPr>
        <w:t>150 m</w:t>
      </w:r>
      <w:r w:rsidR="0074462C">
        <w:rPr>
          <w:rFonts w:ascii="Times New Roman" w:hAnsi="Times New Roman" w:cs="Times New Roman"/>
          <w:sz w:val="24"/>
          <w:szCs w:val="24"/>
        </w:rPr>
        <w:t>L</w:t>
      </w:r>
      <w:r w:rsidR="00A91654" w:rsidRPr="00A345C8">
        <w:rPr>
          <w:rFonts w:ascii="Times New Roman" w:hAnsi="Times New Roman" w:cs="Times New Roman"/>
          <w:sz w:val="24"/>
          <w:szCs w:val="24"/>
        </w:rPr>
        <w:t xml:space="preserve"> (2.0 m</w:t>
      </w:r>
      <w:r w:rsidR="0074462C">
        <w:rPr>
          <w:rFonts w:ascii="Times New Roman" w:hAnsi="Times New Roman" w:cs="Times New Roman"/>
          <w:sz w:val="24"/>
          <w:szCs w:val="24"/>
        </w:rPr>
        <w:t>L</w:t>
      </w:r>
      <w:r w:rsidR="00A91654" w:rsidRPr="00A345C8">
        <w:rPr>
          <w:rFonts w:ascii="Times New Roman" w:hAnsi="Times New Roman" w:cs="Times New Roman"/>
          <w:sz w:val="24"/>
          <w:szCs w:val="24"/>
        </w:rPr>
        <w:t>/kg</w:t>
      </w:r>
      <w:r w:rsidR="0074462C">
        <w:rPr>
          <w:rFonts w:ascii="Times New Roman" w:hAnsi="Times New Roman" w:cs="Times New Roman"/>
          <w:sz w:val="24"/>
          <w:szCs w:val="24"/>
        </w:rPr>
        <w:t xml:space="preserve"> of</w:t>
      </w:r>
      <w:r w:rsidR="00A91654" w:rsidRPr="00A345C8">
        <w:rPr>
          <w:rFonts w:ascii="Times New Roman" w:hAnsi="Times New Roman" w:cs="Times New Roman"/>
          <w:sz w:val="24"/>
          <w:szCs w:val="24"/>
        </w:rPr>
        <w:t xml:space="preserve"> body weight) of iodinated contrast media via a cubital vein in 40 seconds. </w:t>
      </w:r>
      <w:r w:rsidR="00B14BB5">
        <w:rPr>
          <w:rFonts w:ascii="Times New Roman" w:hAnsi="Times New Roman" w:cs="Times New Roman"/>
          <w:sz w:val="24"/>
          <w:szCs w:val="24"/>
        </w:rPr>
        <w:t>E</w:t>
      </w:r>
      <w:r w:rsidR="00A91654" w:rsidRPr="00A345C8">
        <w:rPr>
          <w:rFonts w:ascii="Times New Roman" w:hAnsi="Times New Roman" w:cs="Times New Roman"/>
          <w:sz w:val="24"/>
          <w:szCs w:val="24"/>
        </w:rPr>
        <w:t>arly phase CT data were acquired as follows: the region of interest was set at the level of the pulmonary artery trunk</w:t>
      </w:r>
      <w:r w:rsidR="00B14BB5" w:rsidRPr="00B14BB5">
        <w:rPr>
          <w:rFonts w:ascii="Times New Roman" w:hAnsi="Times New Roman" w:cs="Times New Roman"/>
          <w:sz w:val="24"/>
          <w:szCs w:val="24"/>
        </w:rPr>
        <w:t xml:space="preserve"> </w:t>
      </w:r>
      <w:r w:rsidR="00B14BB5" w:rsidRPr="00A345C8">
        <w:rPr>
          <w:rFonts w:ascii="Times New Roman" w:hAnsi="Times New Roman" w:cs="Times New Roman"/>
          <w:sz w:val="24"/>
          <w:szCs w:val="24"/>
        </w:rPr>
        <w:t>in the descending aorta</w:t>
      </w:r>
      <w:r w:rsidR="00A91654" w:rsidRPr="00A345C8">
        <w:rPr>
          <w:rFonts w:ascii="Times New Roman" w:hAnsi="Times New Roman" w:cs="Times New Roman"/>
          <w:sz w:val="24"/>
          <w:szCs w:val="24"/>
        </w:rPr>
        <w:t xml:space="preserve">. </w:t>
      </w:r>
      <w:r w:rsidR="00AA6350">
        <w:rPr>
          <w:rFonts w:ascii="Times New Roman" w:hAnsi="Times New Roman" w:cs="Times New Roman"/>
          <w:sz w:val="24"/>
          <w:szCs w:val="24"/>
        </w:rPr>
        <w:t>Imaging</w:t>
      </w:r>
      <w:r w:rsidR="00A91654" w:rsidRPr="00A345C8">
        <w:rPr>
          <w:rFonts w:ascii="Times New Roman" w:hAnsi="Times New Roman" w:cs="Times New Roman"/>
          <w:sz w:val="24"/>
          <w:szCs w:val="24"/>
        </w:rPr>
        <w:t xml:space="preserve"> was initiated when the CT value reached 100 Hounsfield units compared with the CT value for the same region in unenhanced CT (baseline). The late phase was acquired 60 seconds after the early phase. If these settings were not feasible, they could be adjusted appropriately </w:t>
      </w:r>
      <w:r w:rsidR="00B14BB5">
        <w:rPr>
          <w:rFonts w:ascii="Times New Roman" w:hAnsi="Times New Roman" w:cs="Times New Roman"/>
          <w:sz w:val="24"/>
          <w:szCs w:val="24"/>
        </w:rPr>
        <w:t>if</w:t>
      </w:r>
      <w:r w:rsidR="00A91654" w:rsidRPr="00A345C8">
        <w:rPr>
          <w:rFonts w:ascii="Times New Roman" w:hAnsi="Times New Roman" w:cs="Times New Roman"/>
          <w:sz w:val="24"/>
          <w:szCs w:val="24"/>
        </w:rPr>
        <w:t xml:space="preserve"> follow-up CT </w:t>
      </w:r>
      <w:r w:rsidR="00B14BB5">
        <w:rPr>
          <w:rFonts w:ascii="Times New Roman" w:hAnsi="Times New Roman" w:cs="Times New Roman"/>
          <w:sz w:val="24"/>
          <w:szCs w:val="24"/>
        </w:rPr>
        <w:t>was</w:t>
      </w:r>
      <w:r w:rsidR="00A91654" w:rsidRPr="00A345C8">
        <w:rPr>
          <w:rFonts w:ascii="Times New Roman" w:hAnsi="Times New Roman" w:cs="Times New Roman"/>
          <w:sz w:val="24"/>
          <w:szCs w:val="24"/>
        </w:rPr>
        <w:t xml:space="preserve"> </w:t>
      </w:r>
      <w:r w:rsidR="00B14BB5">
        <w:rPr>
          <w:rFonts w:ascii="Times New Roman" w:hAnsi="Times New Roman" w:cs="Times New Roman"/>
          <w:sz w:val="24"/>
          <w:szCs w:val="24"/>
        </w:rPr>
        <w:t xml:space="preserve">conducted </w:t>
      </w:r>
      <w:r w:rsidR="00AA6350">
        <w:rPr>
          <w:rFonts w:ascii="Times New Roman" w:hAnsi="Times New Roman" w:cs="Times New Roman"/>
          <w:sz w:val="24"/>
          <w:szCs w:val="24"/>
        </w:rPr>
        <w:t>with</w:t>
      </w:r>
      <w:r w:rsidR="00A91654" w:rsidRPr="00A345C8">
        <w:rPr>
          <w:rFonts w:ascii="Times New Roman" w:hAnsi="Times New Roman" w:cs="Times New Roman"/>
          <w:sz w:val="24"/>
          <w:szCs w:val="24"/>
        </w:rPr>
        <w:t xml:space="preserve"> the same setting</w:t>
      </w:r>
      <w:r w:rsidR="00B14BB5">
        <w:rPr>
          <w:rFonts w:ascii="Times New Roman" w:hAnsi="Times New Roman" w:cs="Times New Roman"/>
          <w:sz w:val="24"/>
          <w:szCs w:val="24"/>
        </w:rPr>
        <w:t>s</w:t>
      </w:r>
      <w:r w:rsidR="00A91654" w:rsidRPr="00A345C8">
        <w:rPr>
          <w:rFonts w:ascii="Times New Roman" w:hAnsi="Times New Roman" w:cs="Times New Roman"/>
          <w:sz w:val="24"/>
          <w:szCs w:val="24"/>
        </w:rPr>
        <w:t xml:space="preserve"> used at baseline. </w:t>
      </w:r>
    </w:p>
    <w:p w14:paraId="610B4B1A" w14:textId="77777777" w:rsidR="00A05238" w:rsidRDefault="00A05238" w:rsidP="00A47B7E">
      <w:pPr>
        <w:spacing w:line="480" w:lineRule="auto"/>
        <w:rPr>
          <w:rFonts w:ascii="Times New Roman" w:hAnsi="Times New Roman" w:cs="Times New Roman"/>
          <w:b/>
          <w:sz w:val="24"/>
          <w:szCs w:val="24"/>
          <w:lang w:eastAsia="ja-JP"/>
        </w:rPr>
      </w:pPr>
    </w:p>
    <w:p w14:paraId="5192C81E" w14:textId="0BCA0AC1" w:rsidR="00A47B7E" w:rsidRPr="00DA3764" w:rsidRDefault="00A47B7E" w:rsidP="00A47B7E">
      <w:pPr>
        <w:spacing w:line="480" w:lineRule="auto"/>
        <w:rPr>
          <w:rFonts w:ascii="Times New Roman" w:hAnsi="Times New Roman" w:cs="Times New Roman"/>
          <w:b/>
          <w:sz w:val="24"/>
          <w:szCs w:val="24"/>
          <w:lang w:eastAsia="ja-JP"/>
        </w:rPr>
      </w:pPr>
      <w:r w:rsidRPr="00DA3764">
        <w:rPr>
          <w:rFonts w:ascii="Times New Roman" w:hAnsi="Times New Roman" w:cs="Times New Roman"/>
          <w:b/>
          <w:sz w:val="24"/>
          <w:szCs w:val="24"/>
          <w:lang w:eastAsia="ja-JP"/>
        </w:rPr>
        <w:t>Statistical analysis</w:t>
      </w:r>
    </w:p>
    <w:p w14:paraId="4433B413" w14:textId="2BA26B89" w:rsidR="008658C2" w:rsidRPr="00DA3764" w:rsidRDefault="00E10781" w:rsidP="003B1AC5">
      <w:pPr>
        <w:spacing w:line="480" w:lineRule="auto"/>
        <w:ind w:firstLine="720"/>
        <w:rPr>
          <w:rFonts w:ascii="Times New Roman" w:hAnsi="Times New Roman" w:cs="Times New Roman"/>
          <w:sz w:val="24"/>
          <w:szCs w:val="24"/>
        </w:rPr>
      </w:pPr>
      <w:r w:rsidRPr="00DA3764">
        <w:rPr>
          <w:rFonts w:ascii="Times New Roman" w:hAnsi="Times New Roman" w:cs="Times New Roman"/>
          <w:sz w:val="24"/>
          <w:szCs w:val="24"/>
        </w:rPr>
        <w:t xml:space="preserve">A sample size of 34 patients was based </w:t>
      </w:r>
      <w:r w:rsidR="009D06E2">
        <w:rPr>
          <w:rFonts w:ascii="Times New Roman" w:hAnsi="Times New Roman" w:cs="Times New Roman"/>
          <w:sz w:val="24"/>
          <w:szCs w:val="24"/>
        </w:rPr>
        <w:t>on the</w:t>
      </w:r>
      <w:r w:rsidRPr="00DA3764">
        <w:rPr>
          <w:rFonts w:ascii="Times New Roman" w:hAnsi="Times New Roman" w:cs="Times New Roman"/>
          <w:sz w:val="24"/>
          <w:szCs w:val="24"/>
        </w:rPr>
        <w:t xml:space="preserve"> calculation that 19 events of relapse would yield 90% power to detect a hazard ratio of 0.2075 at an alpha level of 0.05, assuming </w:t>
      </w:r>
      <w:r w:rsidRPr="00DA3764">
        <w:rPr>
          <w:rFonts w:ascii="Times New Roman" w:hAnsi="Times New Roman" w:cs="Times New Roman"/>
          <w:sz w:val="24"/>
          <w:szCs w:val="24"/>
        </w:rPr>
        <w:lastRenderedPageBreak/>
        <w:t xml:space="preserve">a relapse-free rate of 75% in the </w:t>
      </w:r>
      <w:proofErr w:type="spellStart"/>
      <w:r w:rsidRPr="00DA3764">
        <w:rPr>
          <w:rFonts w:ascii="Times New Roman" w:hAnsi="Times New Roman" w:cs="Times New Roman"/>
          <w:sz w:val="24"/>
          <w:szCs w:val="24"/>
        </w:rPr>
        <w:t>tocilizumab</w:t>
      </w:r>
      <w:proofErr w:type="spellEnd"/>
      <w:r w:rsidRPr="00DA3764">
        <w:rPr>
          <w:rFonts w:ascii="Times New Roman" w:hAnsi="Times New Roman" w:cs="Times New Roman"/>
          <w:sz w:val="24"/>
          <w:szCs w:val="24"/>
        </w:rPr>
        <w:t xml:space="preserve"> group and 25% in the placebo group at week 24</w:t>
      </w:r>
      <w:r w:rsidR="009D06E2">
        <w:rPr>
          <w:rFonts w:ascii="Times New Roman" w:hAnsi="Times New Roman" w:cs="Times New Roman"/>
          <w:sz w:val="24"/>
          <w:szCs w:val="24"/>
        </w:rPr>
        <w:t>,</w:t>
      </w:r>
      <w:r w:rsidRPr="00DA3764">
        <w:rPr>
          <w:rFonts w:ascii="Times New Roman" w:hAnsi="Times New Roman" w:cs="Times New Roman"/>
          <w:sz w:val="24"/>
          <w:szCs w:val="24"/>
        </w:rPr>
        <w:t xml:space="preserve"> with an estimated dropout rate of 20%. </w:t>
      </w:r>
    </w:p>
    <w:p w14:paraId="76D8E049" w14:textId="5D836D60" w:rsidR="003D5254" w:rsidRPr="00E64C9F" w:rsidRDefault="00E10781" w:rsidP="003D5254">
      <w:pPr>
        <w:spacing w:line="480" w:lineRule="auto"/>
        <w:ind w:firstLine="720"/>
        <w:rPr>
          <w:rFonts w:ascii="Times New Roman" w:hAnsi="Times New Roman" w:cs="Times New Roman"/>
          <w:sz w:val="24"/>
          <w:szCs w:val="24"/>
        </w:rPr>
      </w:pPr>
      <w:r w:rsidRPr="00DA3764">
        <w:rPr>
          <w:rFonts w:ascii="Times New Roman" w:hAnsi="Times New Roman" w:cs="Times New Roman"/>
          <w:sz w:val="24"/>
          <w:szCs w:val="24"/>
        </w:rPr>
        <w:t xml:space="preserve">An interim analysis for efficacy and futility was performed after 13 patients </w:t>
      </w:r>
      <w:r w:rsidR="008929BA" w:rsidRPr="00DA3764">
        <w:rPr>
          <w:rFonts w:ascii="Times New Roman" w:hAnsi="Times New Roman" w:cs="Times New Roman"/>
          <w:sz w:val="24"/>
          <w:szCs w:val="24"/>
        </w:rPr>
        <w:t xml:space="preserve">experienced </w:t>
      </w:r>
      <w:r w:rsidRPr="00DA3764">
        <w:rPr>
          <w:rFonts w:ascii="Times New Roman" w:hAnsi="Times New Roman" w:cs="Times New Roman"/>
          <w:sz w:val="24"/>
          <w:szCs w:val="24"/>
        </w:rPr>
        <w:t>relapse. The O’Brien-Fleming</w:t>
      </w:r>
      <w:r w:rsidR="009D06E2">
        <w:rPr>
          <w:rFonts w:ascii="Times New Roman" w:hAnsi="Times New Roman" w:cs="Times New Roman"/>
          <w:sz w:val="24"/>
          <w:szCs w:val="24"/>
        </w:rPr>
        <w:t>–</w:t>
      </w:r>
      <w:r w:rsidRPr="00DA3764">
        <w:rPr>
          <w:rFonts w:ascii="Times New Roman" w:hAnsi="Times New Roman" w:cs="Times New Roman"/>
          <w:sz w:val="24"/>
          <w:szCs w:val="24"/>
        </w:rPr>
        <w:t xml:space="preserve">type alpha spending function was used to determine significance at the interim and primary </w:t>
      </w:r>
      <w:r w:rsidR="009D06E2" w:rsidRPr="00DA3764">
        <w:rPr>
          <w:rFonts w:ascii="Times New Roman" w:hAnsi="Times New Roman" w:cs="Times New Roman"/>
          <w:sz w:val="24"/>
          <w:szCs w:val="24"/>
        </w:rPr>
        <w:t>analys</w:t>
      </w:r>
      <w:r w:rsidR="009D06E2">
        <w:rPr>
          <w:rFonts w:ascii="Times New Roman" w:hAnsi="Times New Roman" w:cs="Times New Roman"/>
          <w:sz w:val="24"/>
          <w:szCs w:val="24"/>
        </w:rPr>
        <w:t>e</w:t>
      </w:r>
      <w:r w:rsidR="009D06E2" w:rsidRPr="00DA3764">
        <w:rPr>
          <w:rFonts w:ascii="Times New Roman" w:hAnsi="Times New Roman" w:cs="Times New Roman"/>
          <w:sz w:val="24"/>
          <w:szCs w:val="24"/>
        </w:rPr>
        <w:t xml:space="preserve">s </w:t>
      </w:r>
      <w:r w:rsidRPr="00DA3764">
        <w:rPr>
          <w:rFonts w:ascii="Times New Roman" w:hAnsi="Times New Roman" w:cs="Times New Roman"/>
          <w:sz w:val="24"/>
          <w:szCs w:val="24"/>
        </w:rPr>
        <w:t>to control for increased type 1 error associated with interim analyses. The O’Brien-</w:t>
      </w:r>
      <w:r w:rsidR="009D06E2" w:rsidRPr="00DA3764">
        <w:rPr>
          <w:rFonts w:ascii="Times New Roman" w:hAnsi="Times New Roman" w:cs="Times New Roman"/>
          <w:sz w:val="24"/>
          <w:szCs w:val="24"/>
        </w:rPr>
        <w:t>Fleming</w:t>
      </w:r>
      <w:r w:rsidR="009D06E2">
        <w:rPr>
          <w:rFonts w:ascii="Times New Roman" w:hAnsi="Times New Roman" w:cs="Times New Roman"/>
          <w:sz w:val="24"/>
          <w:szCs w:val="24"/>
        </w:rPr>
        <w:t>–</w:t>
      </w:r>
      <w:r w:rsidRPr="00DA3764">
        <w:rPr>
          <w:rFonts w:ascii="Times New Roman" w:hAnsi="Times New Roman" w:cs="Times New Roman"/>
          <w:sz w:val="24"/>
          <w:szCs w:val="24"/>
        </w:rPr>
        <w:t xml:space="preserve">type beta spending function was used to ensure sufficient statistical power for the study overall because of the interim futility analysis. Interim analyses were conducted independently </w:t>
      </w:r>
      <w:r w:rsidR="008929BA" w:rsidRPr="00DA3764">
        <w:rPr>
          <w:rFonts w:ascii="Times New Roman" w:hAnsi="Times New Roman" w:cs="Times New Roman"/>
          <w:sz w:val="24"/>
          <w:szCs w:val="24"/>
        </w:rPr>
        <w:t xml:space="preserve">of </w:t>
      </w:r>
      <w:r w:rsidRPr="00DA3764">
        <w:rPr>
          <w:rFonts w:ascii="Times New Roman" w:hAnsi="Times New Roman" w:cs="Times New Roman"/>
          <w:sz w:val="24"/>
          <w:szCs w:val="24"/>
        </w:rPr>
        <w:t>the study sponsor</w:t>
      </w:r>
      <w:r w:rsidR="008929BA" w:rsidRPr="00DA3764">
        <w:rPr>
          <w:rFonts w:ascii="Times New Roman" w:hAnsi="Times New Roman" w:cs="Times New Roman"/>
          <w:sz w:val="24"/>
          <w:szCs w:val="24"/>
        </w:rPr>
        <w:t>,</w:t>
      </w:r>
      <w:r w:rsidRPr="00DA3764">
        <w:rPr>
          <w:rFonts w:ascii="Times New Roman" w:hAnsi="Times New Roman" w:cs="Times New Roman"/>
          <w:sz w:val="24"/>
          <w:szCs w:val="24"/>
        </w:rPr>
        <w:t xml:space="preserve"> and the results were reviewed by the Independent Data Monitoring Committee.</w:t>
      </w:r>
      <w:r w:rsidR="003D5254" w:rsidRPr="00DA3764">
        <w:rPr>
          <w:rFonts w:ascii="Times New Roman" w:hAnsi="Times New Roman" w:cs="Times New Roman"/>
          <w:sz w:val="24"/>
          <w:szCs w:val="24"/>
        </w:rPr>
        <w:t xml:space="preserve"> </w:t>
      </w:r>
      <w:r w:rsidR="003D5254" w:rsidRPr="00E64C9F">
        <w:rPr>
          <w:rFonts w:ascii="Times New Roman" w:hAnsi="Times New Roman" w:cs="Times New Roman"/>
          <w:sz w:val="24"/>
          <w:szCs w:val="24"/>
        </w:rPr>
        <w:t xml:space="preserve">As a result, </w:t>
      </w:r>
      <w:r w:rsidR="00152E8A" w:rsidRPr="00E64C9F">
        <w:rPr>
          <w:rFonts w:ascii="Times New Roman" w:hAnsi="Times New Roman" w:cs="Times New Roman"/>
          <w:sz w:val="24"/>
          <w:szCs w:val="24"/>
        </w:rPr>
        <w:t xml:space="preserve">the </w:t>
      </w:r>
      <w:r w:rsidR="003D5254" w:rsidRPr="00E64C9F">
        <w:rPr>
          <w:rFonts w:ascii="Times New Roman" w:hAnsi="Times New Roman" w:cs="Times New Roman"/>
          <w:sz w:val="24"/>
          <w:szCs w:val="24"/>
        </w:rPr>
        <w:t>committee concluded that the efficacy and futility criteri</w:t>
      </w:r>
      <w:r w:rsidR="0053612C" w:rsidRPr="00E64C9F">
        <w:rPr>
          <w:rFonts w:ascii="Times New Roman" w:hAnsi="Times New Roman" w:cs="Times New Roman"/>
          <w:sz w:val="24"/>
          <w:szCs w:val="24"/>
          <w:lang w:eastAsia="ja-JP"/>
        </w:rPr>
        <w:t>a</w:t>
      </w:r>
      <w:r w:rsidR="003D5254" w:rsidRPr="00E64C9F">
        <w:rPr>
          <w:rFonts w:ascii="Times New Roman" w:hAnsi="Times New Roman" w:cs="Times New Roman"/>
          <w:sz w:val="24"/>
          <w:szCs w:val="24"/>
        </w:rPr>
        <w:t xml:space="preserve"> were not met and recommended that the study </w:t>
      </w:r>
      <w:r w:rsidR="00152E8A" w:rsidRPr="00E64C9F">
        <w:rPr>
          <w:rFonts w:ascii="Times New Roman" w:hAnsi="Times New Roman" w:cs="Times New Roman"/>
          <w:sz w:val="24"/>
          <w:szCs w:val="24"/>
        </w:rPr>
        <w:t xml:space="preserve">be </w:t>
      </w:r>
      <w:r w:rsidR="003D5254" w:rsidRPr="00E64C9F">
        <w:rPr>
          <w:rFonts w:ascii="Times New Roman" w:hAnsi="Times New Roman" w:cs="Times New Roman"/>
          <w:sz w:val="24"/>
          <w:szCs w:val="24"/>
        </w:rPr>
        <w:t>continue</w:t>
      </w:r>
      <w:r w:rsidR="00152E8A" w:rsidRPr="00E64C9F">
        <w:rPr>
          <w:rFonts w:ascii="Times New Roman" w:hAnsi="Times New Roman" w:cs="Times New Roman"/>
          <w:sz w:val="24"/>
          <w:szCs w:val="24"/>
        </w:rPr>
        <w:t>d</w:t>
      </w:r>
      <w:r w:rsidR="003D5254" w:rsidRPr="00E64C9F">
        <w:rPr>
          <w:rFonts w:ascii="Times New Roman" w:hAnsi="Times New Roman" w:cs="Times New Roman"/>
          <w:sz w:val="24"/>
          <w:szCs w:val="24"/>
        </w:rPr>
        <w:t>. Considering</w:t>
      </w:r>
      <w:r w:rsidR="00152E8A" w:rsidRPr="00E64C9F">
        <w:rPr>
          <w:rFonts w:ascii="Times New Roman" w:hAnsi="Times New Roman" w:cs="Times New Roman"/>
          <w:sz w:val="24"/>
          <w:szCs w:val="24"/>
        </w:rPr>
        <w:t xml:space="preserve"> the</w:t>
      </w:r>
      <w:r w:rsidR="003D5254" w:rsidRPr="00E64C9F">
        <w:rPr>
          <w:rFonts w:ascii="Times New Roman" w:hAnsi="Times New Roman" w:cs="Times New Roman"/>
          <w:sz w:val="24"/>
          <w:szCs w:val="24"/>
        </w:rPr>
        <w:t xml:space="preserve"> alpha </w:t>
      </w:r>
      <w:r w:rsidR="00152E8A" w:rsidRPr="00E64C9F">
        <w:rPr>
          <w:rFonts w:ascii="Times New Roman" w:hAnsi="Times New Roman" w:cs="Times New Roman"/>
          <w:sz w:val="24"/>
          <w:szCs w:val="24"/>
        </w:rPr>
        <w:t>used for</w:t>
      </w:r>
      <w:r w:rsidR="003D5254" w:rsidRPr="00E64C9F">
        <w:rPr>
          <w:rFonts w:ascii="Times New Roman" w:hAnsi="Times New Roman" w:cs="Times New Roman"/>
          <w:sz w:val="24"/>
          <w:szCs w:val="24"/>
        </w:rPr>
        <w:t xml:space="preserve"> the efficacy futility analysis, </w:t>
      </w:r>
      <w:r w:rsidR="00152E8A" w:rsidRPr="00E64C9F">
        <w:rPr>
          <w:rFonts w:ascii="Times New Roman" w:hAnsi="Times New Roman" w:cs="Times New Roman"/>
          <w:sz w:val="24"/>
          <w:szCs w:val="24"/>
        </w:rPr>
        <w:t>a</w:t>
      </w:r>
      <w:r w:rsidR="003D5254" w:rsidRPr="00E64C9F">
        <w:rPr>
          <w:rFonts w:ascii="Times New Roman" w:hAnsi="Times New Roman" w:cs="Times New Roman"/>
          <w:sz w:val="24"/>
          <w:szCs w:val="24"/>
        </w:rPr>
        <w:t xml:space="preserve"> significance level </w:t>
      </w:r>
      <w:r w:rsidR="00152E8A" w:rsidRPr="00E64C9F">
        <w:rPr>
          <w:rFonts w:ascii="Times New Roman" w:hAnsi="Times New Roman" w:cs="Times New Roman"/>
          <w:sz w:val="24"/>
          <w:szCs w:val="24"/>
        </w:rPr>
        <w:t>of</w:t>
      </w:r>
      <w:r w:rsidR="003D5254" w:rsidRPr="00E64C9F">
        <w:rPr>
          <w:rFonts w:ascii="Times New Roman" w:hAnsi="Times New Roman" w:cs="Times New Roman"/>
          <w:sz w:val="24"/>
          <w:szCs w:val="24"/>
        </w:rPr>
        <w:t xml:space="preserve"> 0.0459</w:t>
      </w:r>
      <w:r w:rsidR="00152E8A" w:rsidRPr="00E64C9F">
        <w:rPr>
          <w:rFonts w:ascii="Times New Roman" w:hAnsi="Times New Roman" w:cs="Times New Roman"/>
          <w:sz w:val="24"/>
          <w:szCs w:val="24"/>
        </w:rPr>
        <w:t xml:space="preserve"> was used for the final analysis</w:t>
      </w:r>
      <w:r w:rsidR="003D5254" w:rsidRPr="00E64C9F">
        <w:rPr>
          <w:rFonts w:ascii="Times New Roman" w:hAnsi="Times New Roman" w:cs="Times New Roman"/>
          <w:sz w:val="24"/>
          <w:szCs w:val="24"/>
        </w:rPr>
        <w:t>.</w:t>
      </w:r>
    </w:p>
    <w:p w14:paraId="1E124D6F" w14:textId="0DFCDD41" w:rsidR="0008256D" w:rsidRPr="00E64C9F" w:rsidRDefault="0008256D" w:rsidP="0008256D">
      <w:pPr>
        <w:spacing w:line="480" w:lineRule="auto"/>
        <w:ind w:firstLine="720"/>
        <w:rPr>
          <w:rFonts w:ascii="Times New Roman" w:hAnsi="Times New Roman" w:cs="Times New Roman"/>
          <w:sz w:val="24"/>
          <w:szCs w:val="24"/>
        </w:rPr>
      </w:pPr>
      <w:r w:rsidRPr="00E64C9F">
        <w:rPr>
          <w:rFonts w:ascii="Times New Roman" w:hAnsi="Times New Roman" w:cs="Times New Roman"/>
          <w:sz w:val="24"/>
          <w:szCs w:val="24"/>
          <w:lang w:eastAsia="ja-JP"/>
        </w:rPr>
        <w:t>F</w:t>
      </w:r>
      <w:r w:rsidR="00A47B7E" w:rsidRPr="00E64C9F">
        <w:rPr>
          <w:rFonts w:ascii="Times New Roman" w:hAnsi="Times New Roman" w:cs="Times New Roman"/>
          <w:sz w:val="24"/>
          <w:szCs w:val="24"/>
        </w:rPr>
        <w:t>inal analysis was to be conducted when 19</w:t>
      </w:r>
      <w:r w:rsidR="00A47B7E" w:rsidRPr="00E64C9F">
        <w:rPr>
          <w:rFonts w:ascii="Times New Roman" w:hAnsi="Times New Roman" w:cs="Times New Roman"/>
          <w:sz w:val="24"/>
          <w:szCs w:val="24"/>
          <w:vertAlign w:val="superscript"/>
        </w:rPr>
        <w:t xml:space="preserve"> </w:t>
      </w:r>
      <w:r w:rsidR="00A47B7E" w:rsidRPr="00E64C9F">
        <w:rPr>
          <w:rFonts w:ascii="Times New Roman" w:hAnsi="Times New Roman" w:cs="Times New Roman"/>
          <w:sz w:val="24"/>
          <w:szCs w:val="24"/>
        </w:rPr>
        <w:t>patients experienced relapse</w:t>
      </w:r>
      <w:r w:rsidR="00152E8A" w:rsidRPr="00E64C9F">
        <w:rPr>
          <w:rFonts w:ascii="Times New Roman" w:hAnsi="Times New Roman" w:cs="Times New Roman"/>
          <w:sz w:val="24"/>
          <w:szCs w:val="24"/>
        </w:rPr>
        <w:t>;</w:t>
      </w:r>
      <w:r w:rsidR="00A47B7E" w:rsidRPr="00E64C9F">
        <w:rPr>
          <w:rFonts w:ascii="Times New Roman" w:hAnsi="Times New Roman" w:cs="Times New Roman"/>
          <w:sz w:val="24"/>
          <w:szCs w:val="24"/>
        </w:rPr>
        <w:t xml:space="preserve"> 20 relapses</w:t>
      </w:r>
      <w:r w:rsidR="00152E8A" w:rsidRPr="00E64C9F">
        <w:rPr>
          <w:rFonts w:ascii="Times New Roman" w:hAnsi="Times New Roman" w:cs="Times New Roman"/>
          <w:sz w:val="24"/>
          <w:szCs w:val="24"/>
        </w:rPr>
        <w:t xml:space="preserve"> were observed</w:t>
      </w:r>
      <w:r w:rsidR="00A47B7E" w:rsidRPr="00E64C9F">
        <w:rPr>
          <w:rFonts w:ascii="Times New Roman" w:hAnsi="Times New Roman" w:cs="Times New Roman"/>
          <w:sz w:val="24"/>
          <w:szCs w:val="24"/>
        </w:rPr>
        <w:t xml:space="preserve"> before database locking. </w:t>
      </w:r>
      <w:r w:rsidRPr="00E64C9F">
        <w:rPr>
          <w:rFonts w:ascii="Times New Roman" w:hAnsi="Times New Roman" w:cs="Times New Roman"/>
          <w:sz w:val="24"/>
          <w:szCs w:val="24"/>
        </w:rPr>
        <w:t xml:space="preserve">Therefore, </w:t>
      </w:r>
      <w:r w:rsidR="009D06E2">
        <w:rPr>
          <w:rFonts w:ascii="Times New Roman" w:hAnsi="Times New Roman" w:cs="Times New Roman"/>
          <w:sz w:val="24"/>
          <w:szCs w:val="24"/>
        </w:rPr>
        <w:t>the</w:t>
      </w:r>
      <w:r w:rsidR="009D06E2" w:rsidRPr="00E64C9F">
        <w:rPr>
          <w:rFonts w:ascii="Times New Roman" w:hAnsi="Times New Roman" w:cs="Times New Roman"/>
          <w:sz w:val="24"/>
          <w:szCs w:val="24"/>
        </w:rPr>
        <w:t xml:space="preserve"> </w:t>
      </w:r>
      <w:r w:rsidR="00A47B7E" w:rsidRPr="00E64C9F">
        <w:rPr>
          <w:rFonts w:ascii="Times New Roman" w:hAnsi="Times New Roman" w:cs="Times New Roman"/>
          <w:sz w:val="24"/>
          <w:szCs w:val="24"/>
        </w:rPr>
        <w:t xml:space="preserve">additional relapse </w:t>
      </w:r>
      <w:r w:rsidR="00152E8A" w:rsidRPr="00E64C9F">
        <w:rPr>
          <w:rFonts w:ascii="Times New Roman" w:hAnsi="Times New Roman" w:cs="Times New Roman"/>
          <w:sz w:val="24"/>
          <w:szCs w:val="24"/>
        </w:rPr>
        <w:t xml:space="preserve">was </w:t>
      </w:r>
      <w:r w:rsidR="00A47B7E" w:rsidRPr="00E64C9F">
        <w:rPr>
          <w:rFonts w:ascii="Times New Roman" w:hAnsi="Times New Roman" w:cs="Times New Roman"/>
          <w:sz w:val="24"/>
          <w:szCs w:val="24"/>
        </w:rPr>
        <w:t xml:space="preserve">censored </w:t>
      </w:r>
      <w:r w:rsidRPr="00E64C9F">
        <w:rPr>
          <w:rFonts w:ascii="Times New Roman" w:hAnsi="Times New Roman" w:cs="Times New Roman"/>
          <w:sz w:val="24"/>
          <w:szCs w:val="24"/>
        </w:rPr>
        <w:t xml:space="preserve">on </w:t>
      </w:r>
      <w:r w:rsidR="00A47B7E" w:rsidRPr="00E64C9F">
        <w:rPr>
          <w:rFonts w:ascii="Times New Roman" w:hAnsi="Times New Roman" w:cs="Times New Roman"/>
          <w:sz w:val="24"/>
          <w:szCs w:val="24"/>
        </w:rPr>
        <w:t>the date the 19th relapse</w:t>
      </w:r>
      <w:r w:rsidR="00F8170A" w:rsidRPr="00E64C9F">
        <w:rPr>
          <w:rFonts w:ascii="Times New Roman" w:hAnsi="Times New Roman" w:cs="Times New Roman"/>
          <w:sz w:val="24"/>
          <w:szCs w:val="24"/>
        </w:rPr>
        <w:t xml:space="preserve"> occurred</w:t>
      </w:r>
      <w:r w:rsidR="00A47B7E" w:rsidRPr="00E64C9F">
        <w:rPr>
          <w:rFonts w:ascii="Times New Roman" w:hAnsi="Times New Roman" w:cs="Times New Roman"/>
          <w:sz w:val="24"/>
          <w:szCs w:val="24"/>
        </w:rPr>
        <w:t xml:space="preserve"> </w:t>
      </w:r>
      <w:r w:rsidR="009D06E2">
        <w:rPr>
          <w:rFonts w:ascii="Times New Roman" w:hAnsi="Times New Roman" w:cs="Times New Roman"/>
          <w:sz w:val="24"/>
          <w:szCs w:val="24"/>
        </w:rPr>
        <w:t>in accordance with</w:t>
      </w:r>
      <w:r w:rsidR="00A47B7E" w:rsidRPr="00E64C9F">
        <w:rPr>
          <w:rFonts w:ascii="Times New Roman" w:hAnsi="Times New Roman" w:cs="Times New Roman"/>
          <w:sz w:val="24"/>
          <w:szCs w:val="24"/>
        </w:rPr>
        <w:t xml:space="preserve"> the statistical analysis plan</w:t>
      </w:r>
      <w:r w:rsidR="00F8170A" w:rsidRPr="00E64C9F">
        <w:rPr>
          <w:rFonts w:ascii="Times New Roman" w:hAnsi="Times New Roman" w:cs="Times New Roman"/>
          <w:sz w:val="24"/>
          <w:szCs w:val="24"/>
        </w:rPr>
        <w:t xml:space="preserve"> that was</w:t>
      </w:r>
      <w:r w:rsidR="00A47B7E" w:rsidRPr="00E64C9F">
        <w:rPr>
          <w:rFonts w:ascii="Times New Roman" w:hAnsi="Times New Roman" w:cs="Times New Roman"/>
          <w:sz w:val="24"/>
          <w:szCs w:val="24"/>
        </w:rPr>
        <w:t xml:space="preserve"> finalized before database locking.</w:t>
      </w:r>
    </w:p>
    <w:p w14:paraId="1C1AE54B" w14:textId="0A69A661" w:rsidR="0008256D" w:rsidRPr="00E64C9F" w:rsidRDefault="0008256D" w:rsidP="00F0225D">
      <w:pPr>
        <w:spacing w:line="480" w:lineRule="auto"/>
        <w:ind w:firstLine="720"/>
        <w:rPr>
          <w:rFonts w:ascii="Times New Roman" w:hAnsi="Times New Roman" w:cs="Times New Roman"/>
          <w:sz w:val="24"/>
          <w:szCs w:val="24"/>
        </w:rPr>
      </w:pPr>
      <w:r w:rsidRPr="00E64C9F">
        <w:rPr>
          <w:rFonts w:ascii="Times New Roman" w:hAnsi="Times New Roman" w:cs="Times New Roman"/>
          <w:sz w:val="24"/>
          <w:szCs w:val="24"/>
        </w:rPr>
        <w:t>The current analysis</w:t>
      </w:r>
      <w:r w:rsidR="0057485B">
        <w:rPr>
          <w:rFonts w:ascii="Times New Roman" w:hAnsi="Times New Roman" w:cs="Times New Roman"/>
          <w:sz w:val="24"/>
          <w:szCs w:val="24"/>
        </w:rPr>
        <w:t>,</w:t>
      </w:r>
      <w:r w:rsidRPr="00E64C9F">
        <w:rPr>
          <w:rFonts w:ascii="Times New Roman" w:hAnsi="Times New Roman" w:cs="Times New Roman"/>
          <w:sz w:val="24"/>
          <w:szCs w:val="24"/>
        </w:rPr>
        <w:t xml:space="preserve"> stratified by age category (&lt;18 years, </w:t>
      </w:r>
      <w:r w:rsidR="00E32932" w:rsidRPr="00E64C9F">
        <w:rPr>
          <w:rFonts w:ascii="Times New Roman" w:hAnsi="Times New Roman" w:cs="Times New Roman"/>
          <w:sz w:val="24"/>
          <w:szCs w:val="24"/>
        </w:rPr>
        <w:t>1</w:t>
      </w:r>
      <w:r w:rsidR="00E32932" w:rsidRPr="00E64C9F">
        <w:rPr>
          <w:rFonts w:ascii="Times New Roman" w:hAnsi="Times New Roman" w:cs="Times New Roman"/>
          <w:sz w:val="24"/>
          <w:szCs w:val="24"/>
          <w:lang w:eastAsia="ja-JP"/>
        </w:rPr>
        <w:t>8</w:t>
      </w:r>
      <w:r w:rsidRPr="00E64C9F">
        <w:rPr>
          <w:rFonts w:ascii="Times New Roman" w:hAnsi="Times New Roman" w:cs="Times New Roman"/>
          <w:sz w:val="24"/>
          <w:szCs w:val="24"/>
        </w:rPr>
        <w:t>-</w:t>
      </w:r>
      <w:r w:rsidR="004B1B6C">
        <w:rPr>
          <w:rFonts w:ascii="Times New Roman" w:hAnsi="Times New Roman" w:cs="Times New Roman"/>
          <w:sz w:val="24"/>
          <w:szCs w:val="24"/>
        </w:rPr>
        <w:t>&lt;</w:t>
      </w:r>
      <w:r w:rsidRPr="00E64C9F">
        <w:rPr>
          <w:rFonts w:ascii="Times New Roman" w:hAnsi="Times New Roman" w:cs="Times New Roman"/>
          <w:sz w:val="24"/>
          <w:szCs w:val="24"/>
        </w:rPr>
        <w:t>6</w:t>
      </w:r>
      <w:r w:rsidR="004B1B6C">
        <w:rPr>
          <w:rFonts w:ascii="Times New Roman" w:hAnsi="Times New Roman" w:cs="Times New Roman"/>
          <w:sz w:val="24"/>
          <w:szCs w:val="24"/>
        </w:rPr>
        <w:t>5</w:t>
      </w:r>
      <w:r w:rsidRPr="00E64C9F">
        <w:rPr>
          <w:rFonts w:ascii="Times New Roman" w:hAnsi="Times New Roman" w:cs="Times New Roman"/>
          <w:sz w:val="24"/>
          <w:szCs w:val="24"/>
        </w:rPr>
        <w:t xml:space="preserve"> years, ≥65 years)</w:t>
      </w:r>
      <w:r w:rsidR="0057485B">
        <w:rPr>
          <w:rFonts w:ascii="Times New Roman" w:hAnsi="Times New Roman" w:cs="Times New Roman"/>
          <w:sz w:val="24"/>
          <w:szCs w:val="24"/>
        </w:rPr>
        <w:t>, was used</w:t>
      </w:r>
      <w:r w:rsidR="005B2F50" w:rsidRPr="00E64C9F">
        <w:rPr>
          <w:rFonts w:ascii="Times New Roman" w:hAnsi="Times New Roman" w:cs="Times New Roman"/>
          <w:sz w:val="24"/>
          <w:szCs w:val="24"/>
        </w:rPr>
        <w:t xml:space="preserve"> instead of </w:t>
      </w:r>
      <w:r w:rsidR="005B288A">
        <w:rPr>
          <w:rFonts w:ascii="Times New Roman" w:hAnsi="Times New Roman" w:cs="Times New Roman"/>
          <w:sz w:val="24"/>
          <w:szCs w:val="24"/>
        </w:rPr>
        <w:t xml:space="preserve">the </w:t>
      </w:r>
      <w:r w:rsidR="00FC2B6B">
        <w:rPr>
          <w:rFonts w:ascii="Times New Roman" w:hAnsi="Times New Roman" w:cs="Times New Roman"/>
          <w:sz w:val="24"/>
          <w:szCs w:val="24"/>
        </w:rPr>
        <w:t>non</w:t>
      </w:r>
      <w:r w:rsidR="00CF2303">
        <w:rPr>
          <w:rFonts w:ascii="Times New Roman" w:hAnsi="Times New Roman" w:cs="Times New Roman"/>
          <w:sz w:val="24"/>
          <w:szCs w:val="24"/>
        </w:rPr>
        <w:t>-stratified analysis planned at study initiation</w:t>
      </w:r>
      <w:r w:rsidRPr="00E64C9F">
        <w:rPr>
          <w:rFonts w:ascii="Times New Roman" w:hAnsi="Times New Roman" w:cs="Times New Roman"/>
          <w:sz w:val="24"/>
          <w:szCs w:val="24"/>
        </w:rPr>
        <w:t xml:space="preserve"> because symptoms of TAK and their intensity are known to differ between children and adults</w:t>
      </w:r>
      <w:r w:rsidR="00C7413A" w:rsidRPr="00C7413A">
        <w:rPr>
          <w:rFonts w:ascii="Times New Roman" w:hAnsi="Times New Roman" w:cs="Times New Roman"/>
          <w:sz w:val="24"/>
          <w:szCs w:val="24"/>
          <w:vertAlign w:val="superscript"/>
        </w:rPr>
        <w:t>1</w:t>
      </w:r>
      <w:proofErr w:type="gramStart"/>
      <w:r w:rsidR="00C7413A" w:rsidRPr="00C7413A">
        <w:rPr>
          <w:rFonts w:ascii="Times New Roman" w:hAnsi="Times New Roman" w:cs="Times New Roman"/>
          <w:sz w:val="24"/>
          <w:szCs w:val="24"/>
          <w:vertAlign w:val="superscript"/>
        </w:rPr>
        <w:t>,2</w:t>
      </w:r>
      <w:proofErr w:type="gramEnd"/>
      <w:r w:rsidR="00C7413A" w:rsidRPr="00C7413A">
        <w:rPr>
          <w:rFonts w:ascii="Times New Roman" w:hAnsi="Times New Roman" w:cs="Times New Roman"/>
          <w:sz w:val="24"/>
          <w:szCs w:val="24"/>
          <w:vertAlign w:val="superscript"/>
        </w:rPr>
        <w:t xml:space="preserve"> </w:t>
      </w:r>
      <w:r w:rsidRPr="00E64C9F">
        <w:rPr>
          <w:rFonts w:ascii="Times New Roman" w:hAnsi="Times New Roman" w:cs="Times New Roman"/>
          <w:sz w:val="24"/>
          <w:szCs w:val="24"/>
        </w:rPr>
        <w:t xml:space="preserve">and </w:t>
      </w:r>
      <w:r w:rsidR="0057485B">
        <w:rPr>
          <w:rFonts w:ascii="Times New Roman" w:hAnsi="Times New Roman" w:cs="Times New Roman"/>
          <w:sz w:val="24"/>
          <w:szCs w:val="24"/>
        </w:rPr>
        <w:t xml:space="preserve">because </w:t>
      </w:r>
      <w:r w:rsidRPr="00E64C9F">
        <w:rPr>
          <w:rFonts w:ascii="Times New Roman" w:hAnsi="Times New Roman" w:cs="Times New Roman"/>
          <w:sz w:val="24"/>
          <w:szCs w:val="24"/>
        </w:rPr>
        <w:t>a blind</w:t>
      </w:r>
      <w:r w:rsidR="008D19C4" w:rsidRPr="00E64C9F">
        <w:rPr>
          <w:rFonts w:ascii="Times New Roman" w:hAnsi="Times New Roman" w:cs="Times New Roman"/>
          <w:sz w:val="24"/>
          <w:szCs w:val="24"/>
        </w:rPr>
        <w:t>ed</w:t>
      </w:r>
      <w:r w:rsidRPr="00E64C9F">
        <w:rPr>
          <w:rFonts w:ascii="Times New Roman" w:hAnsi="Times New Roman" w:cs="Times New Roman"/>
          <w:sz w:val="24"/>
          <w:szCs w:val="24"/>
        </w:rPr>
        <w:t xml:space="preserve"> review</w:t>
      </w:r>
      <w:r w:rsidR="008D19C4" w:rsidRPr="00E64C9F">
        <w:rPr>
          <w:rFonts w:ascii="Times New Roman" w:hAnsi="Times New Roman" w:cs="Times New Roman"/>
          <w:sz w:val="24"/>
          <w:szCs w:val="24"/>
        </w:rPr>
        <w:t xml:space="preserve"> conduct</w:t>
      </w:r>
      <w:r w:rsidR="00D70E49" w:rsidRPr="00E64C9F">
        <w:rPr>
          <w:rFonts w:ascii="Times New Roman" w:hAnsi="Times New Roman" w:cs="Times New Roman"/>
          <w:sz w:val="24"/>
          <w:szCs w:val="24"/>
        </w:rPr>
        <w:t>ed</w:t>
      </w:r>
      <w:r w:rsidRPr="00E64C9F">
        <w:rPr>
          <w:rFonts w:ascii="Times New Roman" w:hAnsi="Times New Roman" w:cs="Times New Roman"/>
          <w:sz w:val="24"/>
          <w:szCs w:val="24"/>
        </w:rPr>
        <w:t xml:space="preserve"> before </w:t>
      </w:r>
      <w:proofErr w:type="spellStart"/>
      <w:r w:rsidRPr="00E64C9F">
        <w:rPr>
          <w:rFonts w:ascii="Times New Roman" w:hAnsi="Times New Roman" w:cs="Times New Roman"/>
          <w:sz w:val="24"/>
          <w:szCs w:val="24"/>
        </w:rPr>
        <w:t>unblinding</w:t>
      </w:r>
      <w:proofErr w:type="spellEnd"/>
      <w:r w:rsidR="008D19C4" w:rsidRPr="00E64C9F">
        <w:rPr>
          <w:rFonts w:ascii="Times New Roman" w:hAnsi="Times New Roman" w:cs="Times New Roman"/>
          <w:sz w:val="24"/>
          <w:szCs w:val="24"/>
        </w:rPr>
        <w:t xml:space="preserve"> of the study results</w:t>
      </w:r>
      <w:r w:rsidRPr="00E64C9F">
        <w:rPr>
          <w:rFonts w:ascii="Times New Roman" w:hAnsi="Times New Roman" w:cs="Times New Roman"/>
          <w:sz w:val="24"/>
          <w:szCs w:val="24"/>
        </w:rPr>
        <w:t xml:space="preserve"> indicated that the rate of relapse was higher in patients younger than 18 years of age.</w:t>
      </w:r>
    </w:p>
    <w:p w14:paraId="18879D26" w14:textId="3A688095" w:rsidR="00A47B7E" w:rsidRPr="00E53005" w:rsidRDefault="008D19C4" w:rsidP="00A47B7E">
      <w:pPr>
        <w:spacing w:line="480" w:lineRule="auto"/>
        <w:ind w:firstLine="720"/>
        <w:rPr>
          <w:rFonts w:ascii="Times New Roman" w:hAnsi="Times New Roman"/>
          <w:sz w:val="24"/>
        </w:rPr>
      </w:pPr>
      <w:r w:rsidRPr="00E64C9F">
        <w:rPr>
          <w:rFonts w:ascii="Times New Roman" w:hAnsi="Times New Roman" w:cs="Times New Roman"/>
          <w:sz w:val="24"/>
          <w:szCs w:val="24"/>
        </w:rPr>
        <w:t>A</w:t>
      </w:r>
      <w:r w:rsidR="0008256D" w:rsidRPr="00E64C9F">
        <w:rPr>
          <w:rFonts w:ascii="Times New Roman" w:hAnsi="Times New Roman" w:cs="Times New Roman"/>
          <w:sz w:val="24"/>
          <w:szCs w:val="24"/>
        </w:rPr>
        <w:t xml:space="preserve"> hierarchical ordering of hypothesis testing structure</w:t>
      </w:r>
      <w:r w:rsidRPr="00E64C9F">
        <w:rPr>
          <w:rFonts w:ascii="Times New Roman" w:hAnsi="Times New Roman" w:cs="Times New Roman"/>
          <w:sz w:val="24"/>
          <w:szCs w:val="24"/>
        </w:rPr>
        <w:t xml:space="preserve"> was applied</w:t>
      </w:r>
      <w:r w:rsidR="0008256D" w:rsidRPr="00E64C9F">
        <w:rPr>
          <w:rFonts w:ascii="Times New Roman" w:hAnsi="Times New Roman" w:cs="Times New Roman"/>
          <w:sz w:val="24"/>
          <w:szCs w:val="24"/>
        </w:rPr>
        <w:t xml:space="preserve"> for </w:t>
      </w:r>
      <w:r w:rsidRPr="00E64C9F">
        <w:rPr>
          <w:rFonts w:ascii="Times New Roman" w:hAnsi="Times New Roman" w:cs="Times New Roman"/>
          <w:sz w:val="24"/>
          <w:szCs w:val="24"/>
        </w:rPr>
        <w:t xml:space="preserve">the </w:t>
      </w:r>
      <w:r w:rsidR="0008256D" w:rsidRPr="00E64C9F">
        <w:rPr>
          <w:rFonts w:ascii="Times New Roman" w:hAnsi="Times New Roman" w:cs="Times New Roman"/>
          <w:sz w:val="24"/>
          <w:szCs w:val="24"/>
        </w:rPr>
        <w:t xml:space="preserve">primary endpoint and key secondary endpoints. These endpoints were analysed using a fixed-sequence approach to control the overall significance level. </w:t>
      </w:r>
      <w:r w:rsidRPr="00E64C9F">
        <w:rPr>
          <w:rFonts w:ascii="Times New Roman" w:hAnsi="Times New Roman" w:cs="Times New Roman"/>
          <w:sz w:val="24"/>
          <w:szCs w:val="24"/>
        </w:rPr>
        <w:t>The hierarchy consisted of</w:t>
      </w:r>
      <w:r w:rsidR="0008256D" w:rsidRPr="00E64C9F">
        <w:rPr>
          <w:rFonts w:ascii="Times New Roman" w:hAnsi="Times New Roman" w:cs="Times New Roman"/>
          <w:sz w:val="24"/>
          <w:szCs w:val="24"/>
        </w:rPr>
        <w:t xml:space="preserve"> time</w:t>
      </w:r>
      <w:r w:rsidR="00FC6AFE">
        <w:rPr>
          <w:rFonts w:ascii="Times New Roman" w:hAnsi="Times New Roman" w:cs="Times New Roman"/>
          <w:sz w:val="24"/>
          <w:szCs w:val="24"/>
        </w:rPr>
        <w:t>-</w:t>
      </w:r>
      <w:r w:rsidR="0008256D" w:rsidRPr="00E64C9F">
        <w:rPr>
          <w:rFonts w:ascii="Times New Roman" w:hAnsi="Times New Roman" w:cs="Times New Roman"/>
          <w:sz w:val="24"/>
          <w:szCs w:val="24"/>
        </w:rPr>
        <w:lastRenderedPageBreak/>
        <w:t>to</w:t>
      </w:r>
      <w:r w:rsidR="00FC6AFE">
        <w:rPr>
          <w:rFonts w:ascii="Times New Roman" w:hAnsi="Times New Roman" w:cs="Times New Roman"/>
          <w:sz w:val="24"/>
          <w:szCs w:val="24"/>
        </w:rPr>
        <w:t>-</w:t>
      </w:r>
      <w:r w:rsidR="0008256D" w:rsidRPr="00E64C9F">
        <w:rPr>
          <w:rFonts w:ascii="Times New Roman" w:hAnsi="Times New Roman" w:cs="Times New Roman"/>
          <w:sz w:val="24"/>
          <w:szCs w:val="24"/>
        </w:rPr>
        <w:t>relapse of TAK according to protocol-defined criteria followed by time</w:t>
      </w:r>
      <w:r w:rsidR="00FC6AFE">
        <w:rPr>
          <w:rFonts w:ascii="Times New Roman" w:hAnsi="Times New Roman" w:cs="Times New Roman"/>
          <w:sz w:val="24"/>
          <w:szCs w:val="24"/>
        </w:rPr>
        <w:t>-</w:t>
      </w:r>
      <w:r w:rsidR="0008256D" w:rsidRPr="00E64C9F">
        <w:rPr>
          <w:rFonts w:ascii="Times New Roman" w:hAnsi="Times New Roman" w:cs="Times New Roman"/>
          <w:sz w:val="24"/>
          <w:szCs w:val="24"/>
        </w:rPr>
        <w:t>to</w:t>
      </w:r>
      <w:r w:rsidR="00FC6AFE">
        <w:rPr>
          <w:rFonts w:ascii="Times New Roman" w:hAnsi="Times New Roman" w:cs="Times New Roman"/>
          <w:sz w:val="24"/>
          <w:szCs w:val="24"/>
        </w:rPr>
        <w:t>-</w:t>
      </w:r>
      <w:r w:rsidR="0008256D" w:rsidRPr="00E64C9F">
        <w:rPr>
          <w:rFonts w:ascii="Times New Roman" w:hAnsi="Times New Roman" w:cs="Times New Roman"/>
          <w:sz w:val="24"/>
          <w:szCs w:val="24"/>
        </w:rPr>
        <w:t>relapse of TAK according to Kerr’s definition and</w:t>
      </w:r>
      <w:r w:rsidRPr="00E64C9F">
        <w:rPr>
          <w:rFonts w:ascii="Times New Roman" w:hAnsi="Times New Roman" w:cs="Times New Roman"/>
          <w:sz w:val="24"/>
          <w:szCs w:val="24"/>
        </w:rPr>
        <w:t xml:space="preserve"> </w:t>
      </w:r>
      <w:r w:rsidR="00D70E49" w:rsidRPr="00E64C9F">
        <w:rPr>
          <w:rFonts w:ascii="Times New Roman" w:hAnsi="Times New Roman" w:cs="Times New Roman"/>
          <w:sz w:val="24"/>
          <w:szCs w:val="24"/>
        </w:rPr>
        <w:t>lastly</w:t>
      </w:r>
      <w:r w:rsidR="00247BC9">
        <w:rPr>
          <w:rFonts w:ascii="Times New Roman" w:hAnsi="Times New Roman" w:cs="Times New Roman"/>
          <w:sz w:val="24"/>
          <w:szCs w:val="24"/>
        </w:rPr>
        <w:t xml:space="preserve"> by</w:t>
      </w:r>
      <w:r w:rsidR="0008256D" w:rsidRPr="00E64C9F">
        <w:rPr>
          <w:rFonts w:ascii="Times New Roman" w:hAnsi="Times New Roman" w:cs="Times New Roman"/>
          <w:sz w:val="24"/>
          <w:szCs w:val="24"/>
        </w:rPr>
        <w:t xml:space="preserve"> time</w:t>
      </w:r>
      <w:r w:rsidR="00FC6AFE">
        <w:rPr>
          <w:rFonts w:ascii="Times New Roman" w:hAnsi="Times New Roman" w:cs="Times New Roman"/>
          <w:sz w:val="24"/>
          <w:szCs w:val="24"/>
        </w:rPr>
        <w:t>-</w:t>
      </w:r>
      <w:r w:rsidR="0008256D" w:rsidRPr="00E64C9F">
        <w:rPr>
          <w:rFonts w:ascii="Times New Roman" w:hAnsi="Times New Roman" w:cs="Times New Roman"/>
          <w:sz w:val="24"/>
          <w:szCs w:val="24"/>
        </w:rPr>
        <w:t>to</w:t>
      </w:r>
      <w:r w:rsidR="00FC6AFE">
        <w:rPr>
          <w:rFonts w:ascii="Times New Roman" w:hAnsi="Times New Roman" w:cs="Times New Roman"/>
          <w:sz w:val="24"/>
          <w:szCs w:val="24"/>
        </w:rPr>
        <w:t>-</w:t>
      </w:r>
      <w:r w:rsidR="0008256D" w:rsidRPr="00E64C9F">
        <w:rPr>
          <w:rFonts w:ascii="Times New Roman" w:hAnsi="Times New Roman" w:cs="Times New Roman"/>
          <w:sz w:val="24"/>
          <w:szCs w:val="24"/>
        </w:rPr>
        <w:t>relapse based on clinical symptom</w:t>
      </w:r>
      <w:r w:rsidRPr="00E64C9F">
        <w:rPr>
          <w:rFonts w:ascii="Times New Roman" w:hAnsi="Times New Roman" w:cs="Times New Roman"/>
          <w:sz w:val="24"/>
          <w:szCs w:val="24"/>
        </w:rPr>
        <w:t>s</w:t>
      </w:r>
      <w:r w:rsidR="0008256D" w:rsidRPr="00E64C9F">
        <w:rPr>
          <w:rFonts w:ascii="Times New Roman" w:hAnsi="Times New Roman" w:cs="Times New Roman"/>
          <w:sz w:val="24"/>
          <w:szCs w:val="24"/>
        </w:rPr>
        <w:t xml:space="preserve"> only. If </w:t>
      </w:r>
      <w:r w:rsidRPr="00E64C9F">
        <w:rPr>
          <w:rFonts w:ascii="Times New Roman" w:hAnsi="Times New Roman" w:cs="Times New Roman"/>
          <w:sz w:val="24"/>
          <w:szCs w:val="24"/>
        </w:rPr>
        <w:t>a</w:t>
      </w:r>
      <w:r w:rsidR="0008256D" w:rsidRPr="00E64C9F">
        <w:rPr>
          <w:rFonts w:ascii="Times New Roman" w:hAnsi="Times New Roman" w:cs="Times New Roman"/>
          <w:sz w:val="24"/>
          <w:szCs w:val="24"/>
        </w:rPr>
        <w:t xml:space="preserve"> significant result</w:t>
      </w:r>
      <w:r w:rsidRPr="00E64C9F">
        <w:rPr>
          <w:rFonts w:ascii="Times New Roman" w:hAnsi="Times New Roman" w:cs="Times New Roman"/>
          <w:sz w:val="24"/>
          <w:szCs w:val="24"/>
        </w:rPr>
        <w:t xml:space="preserve"> was not observed for the first level of the hierarch</w:t>
      </w:r>
      <w:r w:rsidR="00D70E49" w:rsidRPr="00E64C9F">
        <w:rPr>
          <w:rFonts w:ascii="Times New Roman" w:hAnsi="Times New Roman" w:cs="Times New Roman"/>
          <w:sz w:val="24"/>
          <w:szCs w:val="24"/>
        </w:rPr>
        <w:t>y</w:t>
      </w:r>
      <w:r w:rsidR="0008256D" w:rsidRPr="00E64C9F">
        <w:rPr>
          <w:rFonts w:ascii="Times New Roman" w:hAnsi="Times New Roman" w:cs="Times New Roman"/>
          <w:sz w:val="24"/>
          <w:szCs w:val="24"/>
        </w:rPr>
        <w:t xml:space="preserve">, </w:t>
      </w:r>
      <w:r w:rsidRPr="00E64C9F">
        <w:rPr>
          <w:rFonts w:ascii="Times New Roman" w:hAnsi="Times New Roman" w:cs="Times New Roman"/>
          <w:sz w:val="24"/>
          <w:szCs w:val="24"/>
        </w:rPr>
        <w:t xml:space="preserve">testing </w:t>
      </w:r>
      <w:r w:rsidR="0008256D" w:rsidRPr="00E64C9F">
        <w:rPr>
          <w:rFonts w:ascii="Times New Roman" w:hAnsi="Times New Roman" w:cs="Times New Roman"/>
          <w:sz w:val="24"/>
          <w:szCs w:val="24"/>
        </w:rPr>
        <w:t>could not proceed to</w:t>
      </w:r>
      <w:r w:rsidRPr="00E64C9F">
        <w:rPr>
          <w:rFonts w:ascii="Times New Roman" w:hAnsi="Times New Roman" w:cs="Times New Roman"/>
          <w:sz w:val="24"/>
          <w:szCs w:val="24"/>
        </w:rPr>
        <w:t xml:space="preserve"> the</w:t>
      </w:r>
      <w:r w:rsidR="0008256D" w:rsidRPr="00E64C9F">
        <w:rPr>
          <w:rFonts w:ascii="Times New Roman" w:hAnsi="Times New Roman" w:cs="Times New Roman"/>
          <w:sz w:val="24"/>
          <w:szCs w:val="24"/>
        </w:rPr>
        <w:t xml:space="preserve"> next step</w:t>
      </w:r>
      <w:r w:rsidR="00247BC9">
        <w:rPr>
          <w:rFonts w:ascii="Times New Roman" w:hAnsi="Times New Roman" w:cs="Times New Roman"/>
          <w:sz w:val="24"/>
          <w:szCs w:val="24"/>
        </w:rPr>
        <w:t>,</w:t>
      </w:r>
      <w:r w:rsidRPr="00E64C9F">
        <w:rPr>
          <w:rFonts w:ascii="Times New Roman" w:hAnsi="Times New Roman" w:cs="Times New Roman"/>
          <w:sz w:val="24"/>
          <w:szCs w:val="24"/>
        </w:rPr>
        <w:t xml:space="preserve"> and</w:t>
      </w:r>
      <w:r w:rsidR="0008256D" w:rsidRPr="00E64C9F">
        <w:rPr>
          <w:rFonts w:ascii="Times New Roman" w:hAnsi="Times New Roman" w:cs="Times New Roman"/>
          <w:sz w:val="24"/>
          <w:szCs w:val="24"/>
        </w:rPr>
        <w:t xml:space="preserve"> p values were categorised as nominal (i.e., if </w:t>
      </w:r>
      <w:r w:rsidRPr="00E64C9F">
        <w:rPr>
          <w:rFonts w:ascii="Times New Roman" w:hAnsi="Times New Roman" w:cs="Times New Roman"/>
          <w:sz w:val="24"/>
          <w:szCs w:val="24"/>
        </w:rPr>
        <w:t xml:space="preserve">the </w:t>
      </w:r>
      <w:r w:rsidR="0008256D" w:rsidRPr="00E64C9F">
        <w:rPr>
          <w:rFonts w:ascii="Times New Roman" w:hAnsi="Times New Roman" w:cs="Times New Roman"/>
          <w:sz w:val="24"/>
          <w:szCs w:val="24"/>
        </w:rPr>
        <w:t xml:space="preserve">primary endpoint </w:t>
      </w:r>
      <w:r w:rsidRPr="00E64C9F">
        <w:rPr>
          <w:rFonts w:ascii="Times New Roman" w:hAnsi="Times New Roman" w:cs="Times New Roman"/>
          <w:sz w:val="24"/>
          <w:szCs w:val="24"/>
        </w:rPr>
        <w:t>was</w:t>
      </w:r>
      <w:r w:rsidR="0008256D" w:rsidRPr="00E64C9F">
        <w:rPr>
          <w:rFonts w:ascii="Times New Roman" w:hAnsi="Times New Roman" w:cs="Times New Roman"/>
          <w:sz w:val="24"/>
          <w:szCs w:val="24"/>
        </w:rPr>
        <w:t xml:space="preserve"> not significant, p values for all key secondary endpoints </w:t>
      </w:r>
      <w:r w:rsidRPr="00E64C9F">
        <w:rPr>
          <w:rFonts w:ascii="Times New Roman" w:hAnsi="Times New Roman" w:cs="Times New Roman"/>
          <w:sz w:val="24"/>
          <w:szCs w:val="24"/>
        </w:rPr>
        <w:t xml:space="preserve">would be </w:t>
      </w:r>
      <w:r w:rsidR="0008256D" w:rsidRPr="00E64C9F">
        <w:rPr>
          <w:rFonts w:ascii="Times New Roman" w:hAnsi="Times New Roman" w:cs="Times New Roman"/>
          <w:sz w:val="24"/>
          <w:szCs w:val="24"/>
        </w:rPr>
        <w:t>nominal).</w:t>
      </w:r>
    </w:p>
    <w:p w14:paraId="1F615FBB" w14:textId="4ED62573" w:rsidR="002217D9" w:rsidRDefault="002217D9" w:rsidP="00A47B7E">
      <w:pPr>
        <w:spacing w:line="480" w:lineRule="auto"/>
        <w:ind w:firstLine="720"/>
        <w:rPr>
          <w:rFonts w:ascii="Times New Roman" w:hAnsi="Times New Roman" w:cs="Times New Roman"/>
          <w:sz w:val="24"/>
          <w:szCs w:val="24"/>
        </w:rPr>
      </w:pPr>
    </w:p>
    <w:p w14:paraId="363888D6" w14:textId="77777777" w:rsidR="00AA6350" w:rsidRDefault="00AA6350" w:rsidP="00A47B7E">
      <w:pPr>
        <w:spacing w:line="480" w:lineRule="auto"/>
        <w:ind w:firstLine="720"/>
        <w:rPr>
          <w:rFonts w:ascii="Times New Roman" w:hAnsi="Times New Roman" w:cs="Times New Roman"/>
          <w:vanish/>
          <w:sz w:val="24"/>
          <w:szCs w:val="24"/>
        </w:rPr>
      </w:pPr>
    </w:p>
    <w:p w14:paraId="22E32F48" w14:textId="7FBE9ED8" w:rsidR="00D61CC2" w:rsidRPr="00D61CC2" w:rsidRDefault="00FE39FF" w:rsidP="00D61CC2">
      <w:pPr>
        <w:spacing w:line="480" w:lineRule="auto"/>
        <w:rPr>
          <w:rFonts w:ascii="Times New Roman" w:hAnsi="Times New Roman" w:cs="Times New Roman"/>
          <w:b/>
          <w:sz w:val="24"/>
          <w:szCs w:val="24"/>
        </w:rPr>
      </w:pPr>
      <w:r>
        <w:rPr>
          <w:rFonts w:ascii="Times New Roman" w:hAnsi="Times New Roman" w:cs="Times New Roman"/>
          <w:b/>
          <w:sz w:val="24"/>
          <w:szCs w:val="24"/>
        </w:rPr>
        <w:t>L</w:t>
      </w:r>
      <w:r w:rsidR="00D61CC2" w:rsidRPr="00D61CC2">
        <w:rPr>
          <w:rFonts w:ascii="Times New Roman" w:hAnsi="Times New Roman" w:cs="Times New Roman"/>
          <w:b/>
          <w:sz w:val="24"/>
          <w:szCs w:val="24"/>
        </w:rPr>
        <w:t>aboratory parameter results</w:t>
      </w:r>
    </w:p>
    <w:p w14:paraId="0E811F9F" w14:textId="79EECC2B" w:rsidR="00872C30" w:rsidRPr="00DE7077" w:rsidRDefault="00FE39FF" w:rsidP="00A47B7E">
      <w:pPr>
        <w:spacing w:line="480" w:lineRule="auto"/>
        <w:ind w:firstLine="720"/>
        <w:rPr>
          <w:rFonts w:ascii="Times New Roman" w:hAnsi="Times New Roman" w:cs="Times New Roman"/>
          <w:vanish/>
          <w:sz w:val="24"/>
          <w:szCs w:val="24"/>
        </w:rPr>
      </w:pPr>
      <w:r w:rsidRPr="00FE39FF">
        <w:rPr>
          <w:rFonts w:ascii="Times New Roman" w:hAnsi="Times New Roman" w:cs="Times New Roman"/>
          <w:sz w:val="24"/>
        </w:rPr>
        <w:t>Alanine aminotransferase (ALT) and aspartate aminotransferase (AST) levels were elevated from normal at baseline to a worst value of CTCAE grade 1 in 7</w:t>
      </w:r>
      <w:r w:rsidR="00E435CF">
        <w:rPr>
          <w:rFonts w:ascii="Times New Roman" w:hAnsi="Times New Roman" w:cs="Times New Roman"/>
          <w:sz w:val="24"/>
        </w:rPr>
        <w:t xml:space="preserve"> of </w:t>
      </w:r>
      <w:r w:rsidRPr="00FE39FF">
        <w:rPr>
          <w:rFonts w:ascii="Times New Roman" w:hAnsi="Times New Roman" w:cs="Times New Roman"/>
          <w:sz w:val="24"/>
        </w:rPr>
        <w:t>16 (43.8%) and</w:t>
      </w:r>
      <w:r w:rsidR="00E435CF">
        <w:rPr>
          <w:rFonts w:ascii="Times New Roman" w:hAnsi="Times New Roman" w:cs="Times New Roman"/>
          <w:sz w:val="24"/>
        </w:rPr>
        <w:t xml:space="preserve"> in</w:t>
      </w:r>
      <w:r w:rsidRPr="00FE39FF">
        <w:rPr>
          <w:rFonts w:ascii="Times New Roman" w:hAnsi="Times New Roman" w:cs="Times New Roman"/>
          <w:sz w:val="24"/>
        </w:rPr>
        <w:t xml:space="preserve"> 3</w:t>
      </w:r>
      <w:r w:rsidR="00E435CF">
        <w:rPr>
          <w:rFonts w:ascii="Times New Roman" w:hAnsi="Times New Roman" w:cs="Times New Roman"/>
          <w:sz w:val="24"/>
        </w:rPr>
        <w:t xml:space="preserve"> of </w:t>
      </w:r>
      <w:r w:rsidRPr="00FE39FF">
        <w:rPr>
          <w:rFonts w:ascii="Times New Roman" w:hAnsi="Times New Roman" w:cs="Times New Roman"/>
          <w:sz w:val="24"/>
        </w:rPr>
        <w:t xml:space="preserve">17 (17.6%) patients, respectively, in the </w:t>
      </w:r>
      <w:proofErr w:type="spellStart"/>
      <w:r w:rsidRPr="00FE39FF">
        <w:rPr>
          <w:rFonts w:ascii="Times New Roman" w:hAnsi="Times New Roman" w:cs="Times New Roman"/>
          <w:sz w:val="24"/>
        </w:rPr>
        <w:t>tocilizumab</w:t>
      </w:r>
      <w:proofErr w:type="spellEnd"/>
      <w:r w:rsidRPr="00FE39FF">
        <w:rPr>
          <w:rFonts w:ascii="Times New Roman" w:hAnsi="Times New Roman" w:cs="Times New Roman"/>
          <w:sz w:val="24"/>
        </w:rPr>
        <w:t xml:space="preserve"> group and in 3</w:t>
      </w:r>
      <w:r w:rsidR="00E435CF">
        <w:rPr>
          <w:rFonts w:ascii="Times New Roman" w:hAnsi="Times New Roman" w:cs="Times New Roman"/>
          <w:sz w:val="24"/>
          <w:lang w:eastAsia="ja-JP"/>
        </w:rPr>
        <w:t xml:space="preserve"> of </w:t>
      </w:r>
      <w:r w:rsidRPr="00FE39FF">
        <w:rPr>
          <w:rFonts w:ascii="Times New Roman" w:hAnsi="Times New Roman" w:cs="Times New Roman"/>
          <w:sz w:val="24"/>
        </w:rPr>
        <w:t>18 (16.7%) and</w:t>
      </w:r>
      <w:r w:rsidR="00E435CF">
        <w:rPr>
          <w:rFonts w:ascii="Times New Roman" w:hAnsi="Times New Roman" w:cs="Times New Roman"/>
          <w:sz w:val="24"/>
        </w:rPr>
        <w:t xml:space="preserve"> in</w:t>
      </w:r>
      <w:r w:rsidRPr="00FE39FF">
        <w:rPr>
          <w:rFonts w:ascii="Times New Roman" w:hAnsi="Times New Roman" w:cs="Times New Roman"/>
          <w:sz w:val="24"/>
        </w:rPr>
        <w:t xml:space="preserve"> 1</w:t>
      </w:r>
      <w:r w:rsidR="00E435CF">
        <w:rPr>
          <w:rFonts w:ascii="Times New Roman" w:hAnsi="Times New Roman" w:cs="Times New Roman"/>
          <w:sz w:val="24"/>
        </w:rPr>
        <w:t xml:space="preserve"> of </w:t>
      </w:r>
      <w:r w:rsidRPr="00FE39FF">
        <w:rPr>
          <w:rFonts w:ascii="Times New Roman" w:hAnsi="Times New Roman" w:cs="Times New Roman"/>
          <w:sz w:val="24"/>
        </w:rPr>
        <w:t>18 (5.6%) patients, respectively, in the placebo group. No patients experienced ALT or AST elevations above grade 1 during the study</w:t>
      </w:r>
      <w:r>
        <w:rPr>
          <w:rFonts w:ascii="Times New Roman" w:hAnsi="Times New Roman" w:cs="Times New Roman"/>
          <w:sz w:val="24"/>
        </w:rPr>
        <w:t xml:space="preserve">. </w:t>
      </w:r>
      <w:r w:rsidR="00D61CC2" w:rsidRPr="00DA3764">
        <w:rPr>
          <w:rFonts w:ascii="Times New Roman" w:hAnsi="Times New Roman" w:cs="Times New Roman"/>
          <w:sz w:val="24"/>
        </w:rPr>
        <w:t xml:space="preserve">No patient in either group </w:t>
      </w:r>
      <w:r w:rsidR="00AA6350">
        <w:rPr>
          <w:rFonts w:ascii="Times New Roman" w:hAnsi="Times New Roman" w:cs="Times New Roman"/>
          <w:sz w:val="24"/>
        </w:rPr>
        <w:t>experienced</w:t>
      </w:r>
      <w:r w:rsidR="00D61CC2" w:rsidRPr="00DA3764">
        <w:rPr>
          <w:rFonts w:ascii="Times New Roman" w:hAnsi="Times New Roman" w:cs="Times New Roman"/>
          <w:sz w:val="24"/>
        </w:rPr>
        <w:t xml:space="preserve"> decreased platelet levels. One </w:t>
      </w:r>
      <w:proofErr w:type="spellStart"/>
      <w:r w:rsidR="00D61CC2" w:rsidRPr="00DA3764">
        <w:rPr>
          <w:rFonts w:ascii="Times New Roman" w:hAnsi="Times New Roman" w:cs="Times New Roman"/>
          <w:sz w:val="24"/>
        </w:rPr>
        <w:t>tocilizumab</w:t>
      </w:r>
      <w:proofErr w:type="spellEnd"/>
      <w:r w:rsidR="00D61CC2" w:rsidRPr="00DA3764">
        <w:rPr>
          <w:rFonts w:ascii="Times New Roman" w:hAnsi="Times New Roman" w:cs="Times New Roman"/>
          <w:sz w:val="24"/>
        </w:rPr>
        <w:t xml:space="preserve">-treated patient </w:t>
      </w:r>
      <w:r w:rsidR="00AA6350">
        <w:rPr>
          <w:rFonts w:ascii="Times New Roman" w:hAnsi="Times New Roman" w:cs="Times New Roman"/>
          <w:sz w:val="24"/>
        </w:rPr>
        <w:t>experienced</w:t>
      </w:r>
      <w:r w:rsidR="00D61CC2" w:rsidRPr="00DA3764">
        <w:rPr>
          <w:rFonts w:ascii="Times New Roman" w:hAnsi="Times New Roman" w:cs="Times New Roman"/>
          <w:sz w:val="24"/>
        </w:rPr>
        <w:t xml:space="preserve"> a</w:t>
      </w:r>
      <w:r w:rsidR="00D61CC2">
        <w:rPr>
          <w:rFonts w:ascii="Times New Roman" w:hAnsi="Times New Roman" w:cs="Times New Roman"/>
          <w:sz w:val="24"/>
        </w:rPr>
        <w:t xml:space="preserve"> CTCAE</w:t>
      </w:r>
      <w:r w:rsidR="00D61CC2" w:rsidRPr="00DA3764">
        <w:rPr>
          <w:rFonts w:ascii="Times New Roman" w:hAnsi="Times New Roman" w:cs="Times New Roman"/>
          <w:sz w:val="24"/>
        </w:rPr>
        <w:t xml:space="preserve"> grade 2 neutrophil count decrease.</w:t>
      </w:r>
      <w:r w:rsidR="00D61CC2">
        <w:rPr>
          <w:rFonts w:ascii="Times New Roman" w:hAnsi="Times New Roman" w:cs="Times New Roman"/>
          <w:sz w:val="24"/>
        </w:rPr>
        <w:t xml:space="preserve"> Assessment of c</w:t>
      </w:r>
      <w:r w:rsidR="00D61CC2" w:rsidRPr="00920726">
        <w:rPr>
          <w:rFonts w:ascii="Times New Roman" w:hAnsi="Times New Roman" w:cs="Times New Roman"/>
          <w:sz w:val="24"/>
        </w:rPr>
        <w:t>hange</w:t>
      </w:r>
      <w:r w:rsidR="00D61CC2">
        <w:rPr>
          <w:rFonts w:ascii="Times New Roman" w:hAnsi="Times New Roman" w:cs="Times New Roman"/>
          <w:sz w:val="24"/>
        </w:rPr>
        <w:t>s</w:t>
      </w:r>
      <w:r w:rsidR="00D61CC2" w:rsidRPr="00920726">
        <w:rPr>
          <w:rFonts w:ascii="Times New Roman" w:hAnsi="Times New Roman" w:cs="Times New Roman"/>
          <w:sz w:val="24"/>
        </w:rPr>
        <w:t xml:space="preserve"> from baseline in lipid levels </w:t>
      </w:r>
      <w:r w:rsidR="00D61CC2">
        <w:rPr>
          <w:rFonts w:ascii="Times New Roman" w:hAnsi="Times New Roman" w:cs="Times New Roman"/>
          <w:sz w:val="24"/>
        </w:rPr>
        <w:t>as the</w:t>
      </w:r>
      <w:r w:rsidR="00D61CC2" w:rsidRPr="00920726">
        <w:rPr>
          <w:rFonts w:ascii="Times New Roman" w:hAnsi="Times New Roman" w:cs="Times New Roman"/>
          <w:sz w:val="24"/>
        </w:rPr>
        <w:t xml:space="preserve"> proportions of patients with changes in high-density lipoprotein (HDL), low-density lipoprotein (LDL) and total cholesterol according to Adult Treat</w:t>
      </w:r>
      <w:r w:rsidR="00D61CC2">
        <w:rPr>
          <w:rFonts w:ascii="Times New Roman" w:hAnsi="Times New Roman" w:cs="Times New Roman"/>
          <w:sz w:val="24"/>
        </w:rPr>
        <w:t>ment Panel (ATP) III guidelines</w:t>
      </w:r>
      <w:r w:rsidR="00D61CC2" w:rsidRPr="00920726">
        <w:rPr>
          <w:rFonts w:ascii="Times New Roman" w:hAnsi="Times New Roman" w:cs="Times New Roman"/>
          <w:sz w:val="24"/>
          <w:vertAlign w:val="superscript"/>
        </w:rPr>
        <w:t>3</w:t>
      </w:r>
      <w:r w:rsidR="00D61CC2" w:rsidRPr="00DA3764">
        <w:rPr>
          <w:rFonts w:ascii="Times New Roman" w:hAnsi="Times New Roman" w:cs="Times New Roman"/>
          <w:sz w:val="24"/>
        </w:rPr>
        <w:t xml:space="preserve"> </w:t>
      </w:r>
      <w:r w:rsidR="00AA6350">
        <w:rPr>
          <w:rFonts w:ascii="Times New Roman" w:hAnsi="Times New Roman" w:cs="Times New Roman"/>
          <w:sz w:val="24"/>
        </w:rPr>
        <w:t>showing</w:t>
      </w:r>
      <w:r w:rsidR="00D61CC2">
        <w:rPr>
          <w:rFonts w:ascii="Times New Roman" w:hAnsi="Times New Roman" w:cs="Times New Roman"/>
          <w:sz w:val="24"/>
        </w:rPr>
        <w:t xml:space="preserve"> t</w:t>
      </w:r>
      <w:r w:rsidR="00D61CC2" w:rsidRPr="00DA3764">
        <w:rPr>
          <w:rFonts w:ascii="Times New Roman" w:hAnsi="Times New Roman" w:cs="Times New Roman"/>
          <w:sz w:val="24"/>
        </w:rPr>
        <w:t>otal cholesterol level elevation</w:t>
      </w:r>
      <w:r w:rsidR="00AA6350">
        <w:rPr>
          <w:rFonts w:ascii="Times New Roman" w:hAnsi="Times New Roman" w:cs="Times New Roman"/>
          <w:sz w:val="24"/>
        </w:rPr>
        <w:t>s</w:t>
      </w:r>
      <w:r w:rsidR="00D61CC2" w:rsidRPr="00DA3764">
        <w:rPr>
          <w:rFonts w:ascii="Times New Roman" w:hAnsi="Times New Roman" w:cs="Times New Roman"/>
          <w:sz w:val="24"/>
        </w:rPr>
        <w:t xml:space="preserve"> from &lt;240 mg/</w:t>
      </w:r>
      <w:proofErr w:type="spellStart"/>
      <w:r w:rsidR="00D61CC2" w:rsidRPr="00DA3764">
        <w:rPr>
          <w:rFonts w:ascii="Times New Roman" w:hAnsi="Times New Roman" w:cs="Times New Roman"/>
          <w:sz w:val="24"/>
        </w:rPr>
        <w:t>dL</w:t>
      </w:r>
      <w:proofErr w:type="spellEnd"/>
      <w:r w:rsidR="00D61CC2" w:rsidRPr="00DA3764">
        <w:rPr>
          <w:rFonts w:ascii="Times New Roman" w:hAnsi="Times New Roman" w:cs="Times New Roman"/>
          <w:sz w:val="24"/>
        </w:rPr>
        <w:t xml:space="preserve"> at baseline to </w:t>
      </w:r>
      <w:r w:rsidR="00D61CC2" w:rsidRPr="00DA3764">
        <w:rPr>
          <w:rFonts w:ascii="Times New Roman" w:hAnsi="Times New Roman" w:cs="Times New Roman"/>
          <w:lang w:eastAsia="ja-JP"/>
        </w:rPr>
        <w:t>≥</w:t>
      </w:r>
      <w:r w:rsidR="00D61CC2" w:rsidRPr="00DA3764">
        <w:rPr>
          <w:rFonts w:ascii="Times New Roman" w:hAnsi="Times New Roman" w:cs="Times New Roman"/>
          <w:sz w:val="24"/>
        </w:rPr>
        <w:t>240 mg/</w:t>
      </w:r>
      <w:proofErr w:type="spellStart"/>
      <w:r w:rsidR="00D61CC2" w:rsidRPr="00DA3764">
        <w:rPr>
          <w:rFonts w:ascii="Times New Roman" w:hAnsi="Times New Roman" w:cs="Times New Roman"/>
          <w:sz w:val="24"/>
        </w:rPr>
        <w:t>dL</w:t>
      </w:r>
      <w:proofErr w:type="spellEnd"/>
      <w:r w:rsidR="00D61CC2" w:rsidRPr="00DA3764">
        <w:rPr>
          <w:rFonts w:ascii="Times New Roman" w:hAnsi="Times New Roman" w:cs="Times New Roman"/>
          <w:sz w:val="24"/>
        </w:rPr>
        <w:t xml:space="preserve"> and </w:t>
      </w:r>
      <w:r w:rsidR="00D61CC2" w:rsidRPr="00B01974">
        <w:rPr>
          <w:rFonts w:ascii="Times New Roman" w:hAnsi="Times New Roman" w:cs="Times New Roman"/>
          <w:sz w:val="24"/>
        </w:rPr>
        <w:t>LDL cholesterol</w:t>
      </w:r>
      <w:r w:rsidR="00D61CC2" w:rsidRPr="00DA3764">
        <w:rPr>
          <w:rFonts w:ascii="Times New Roman" w:hAnsi="Times New Roman" w:cs="Times New Roman"/>
          <w:sz w:val="24"/>
        </w:rPr>
        <w:t xml:space="preserve"> elevation</w:t>
      </w:r>
      <w:r w:rsidR="00AA6350">
        <w:rPr>
          <w:rFonts w:ascii="Times New Roman" w:hAnsi="Times New Roman" w:cs="Times New Roman"/>
          <w:sz w:val="24"/>
        </w:rPr>
        <w:t>s</w:t>
      </w:r>
      <w:r w:rsidR="00D61CC2" w:rsidRPr="00DA3764">
        <w:rPr>
          <w:rFonts w:ascii="Times New Roman" w:hAnsi="Times New Roman" w:cs="Times New Roman"/>
          <w:sz w:val="24"/>
        </w:rPr>
        <w:t xml:space="preserve"> from &lt;160 mg/</w:t>
      </w:r>
      <w:proofErr w:type="spellStart"/>
      <w:r w:rsidR="00D61CC2" w:rsidRPr="00DA3764">
        <w:rPr>
          <w:rFonts w:ascii="Times New Roman" w:hAnsi="Times New Roman" w:cs="Times New Roman"/>
          <w:sz w:val="24"/>
        </w:rPr>
        <w:t>dL</w:t>
      </w:r>
      <w:proofErr w:type="spellEnd"/>
      <w:r w:rsidR="00D61CC2" w:rsidRPr="00DA3764">
        <w:rPr>
          <w:rFonts w:ascii="Times New Roman" w:hAnsi="Times New Roman" w:cs="Times New Roman"/>
          <w:sz w:val="24"/>
        </w:rPr>
        <w:t xml:space="preserve"> at baseline to </w:t>
      </w:r>
      <w:r w:rsidR="00D61CC2" w:rsidRPr="00DA3764">
        <w:rPr>
          <w:rFonts w:ascii="Times New Roman" w:hAnsi="Times New Roman" w:cs="Times New Roman"/>
          <w:lang w:eastAsia="ja-JP"/>
        </w:rPr>
        <w:t>≥</w:t>
      </w:r>
      <w:r w:rsidR="00D61CC2" w:rsidRPr="00DA3764">
        <w:rPr>
          <w:rFonts w:ascii="Times New Roman" w:hAnsi="Times New Roman" w:cs="Times New Roman"/>
          <w:sz w:val="24"/>
        </w:rPr>
        <w:t>160 mg/</w:t>
      </w:r>
      <w:proofErr w:type="spellStart"/>
      <w:r w:rsidR="00D61CC2" w:rsidRPr="00DA3764">
        <w:rPr>
          <w:rFonts w:ascii="Times New Roman" w:hAnsi="Times New Roman" w:cs="Times New Roman"/>
          <w:sz w:val="24"/>
        </w:rPr>
        <w:t>dL</w:t>
      </w:r>
      <w:proofErr w:type="spellEnd"/>
      <w:r w:rsidR="00D61CC2" w:rsidRPr="005425CF">
        <w:rPr>
          <w:rFonts w:ascii="Times New Roman" w:hAnsi="Times New Roman" w:cs="Times New Roman" w:hint="eastAsia"/>
          <w:sz w:val="24"/>
          <w:lang w:eastAsia="ja-JP"/>
        </w:rPr>
        <w:t xml:space="preserve"> </w:t>
      </w:r>
      <w:r w:rsidR="00D61CC2" w:rsidRPr="007D30AE">
        <w:rPr>
          <w:rFonts w:ascii="Times New Roman" w:hAnsi="Times New Roman" w:cs="Times New Roman"/>
          <w:sz w:val="24"/>
          <w:lang w:eastAsia="ja-JP"/>
        </w:rPr>
        <w:t>under non-fasting</w:t>
      </w:r>
      <w:r w:rsidR="00D61CC2">
        <w:rPr>
          <w:rFonts w:ascii="Times New Roman" w:hAnsi="Times New Roman" w:cs="Times New Roman"/>
          <w:sz w:val="24"/>
          <w:lang w:eastAsia="ja-JP"/>
        </w:rPr>
        <w:t xml:space="preserve"> conditions</w:t>
      </w:r>
      <w:r w:rsidR="00D61CC2" w:rsidRPr="005425CF">
        <w:rPr>
          <w:rFonts w:ascii="Times New Roman" w:hAnsi="Times New Roman" w:cs="Times New Roman"/>
          <w:sz w:val="24"/>
        </w:rPr>
        <w:t xml:space="preserve"> were reported in 4</w:t>
      </w:r>
      <w:r w:rsidR="00AA6350">
        <w:rPr>
          <w:rFonts w:ascii="Times New Roman" w:hAnsi="Times New Roman" w:cs="Times New Roman"/>
          <w:sz w:val="24"/>
        </w:rPr>
        <w:t xml:space="preserve"> of </w:t>
      </w:r>
      <w:r w:rsidR="00D61CC2" w:rsidRPr="005425CF">
        <w:rPr>
          <w:rFonts w:ascii="Times New Roman" w:hAnsi="Times New Roman" w:cs="Times New Roman"/>
          <w:sz w:val="24"/>
        </w:rPr>
        <w:t xml:space="preserve">11 and </w:t>
      </w:r>
      <w:r w:rsidR="00AA6350">
        <w:rPr>
          <w:rFonts w:ascii="Times New Roman" w:hAnsi="Times New Roman" w:cs="Times New Roman"/>
          <w:sz w:val="24"/>
        </w:rPr>
        <w:t xml:space="preserve">in </w:t>
      </w:r>
      <w:r w:rsidR="00D61CC2" w:rsidRPr="005425CF">
        <w:rPr>
          <w:rFonts w:ascii="Times New Roman" w:hAnsi="Times New Roman" w:cs="Times New Roman"/>
          <w:sz w:val="24"/>
        </w:rPr>
        <w:t>3</w:t>
      </w:r>
      <w:r w:rsidR="00AA6350">
        <w:rPr>
          <w:rFonts w:ascii="Times New Roman" w:hAnsi="Times New Roman" w:cs="Times New Roman"/>
          <w:sz w:val="24"/>
        </w:rPr>
        <w:t xml:space="preserve"> of </w:t>
      </w:r>
      <w:r w:rsidR="00D61CC2" w:rsidRPr="005425CF">
        <w:rPr>
          <w:rFonts w:ascii="Times New Roman" w:hAnsi="Times New Roman" w:cs="Times New Roman"/>
          <w:sz w:val="24"/>
        </w:rPr>
        <w:t xml:space="preserve">16 </w:t>
      </w:r>
      <w:proofErr w:type="spellStart"/>
      <w:r w:rsidR="00D61CC2" w:rsidRPr="005425CF">
        <w:rPr>
          <w:rFonts w:ascii="Times New Roman" w:hAnsi="Times New Roman" w:cs="Times New Roman"/>
          <w:sz w:val="24"/>
        </w:rPr>
        <w:t>tocilizumab</w:t>
      </w:r>
      <w:proofErr w:type="spellEnd"/>
      <w:r w:rsidR="00D61CC2" w:rsidRPr="005425CF">
        <w:rPr>
          <w:rFonts w:ascii="Times New Roman" w:hAnsi="Times New Roman" w:cs="Times New Roman"/>
          <w:sz w:val="24"/>
        </w:rPr>
        <w:t xml:space="preserve">-treated patients, respectively. No patients </w:t>
      </w:r>
      <w:r w:rsidR="00D61CC2" w:rsidRPr="00DE7077">
        <w:rPr>
          <w:rFonts w:ascii="Times New Roman" w:hAnsi="Times New Roman" w:cs="Times New Roman"/>
          <w:sz w:val="24"/>
        </w:rPr>
        <w:t>in the</w:t>
      </w:r>
      <w:r w:rsidR="00D61CC2" w:rsidRPr="00DA3764">
        <w:rPr>
          <w:rFonts w:ascii="Times New Roman" w:hAnsi="Times New Roman" w:cs="Times New Roman"/>
          <w:sz w:val="24"/>
        </w:rPr>
        <w:t xml:space="preserve"> placebo group</w:t>
      </w:r>
      <w:r w:rsidR="00D61CC2" w:rsidRPr="005425CF">
        <w:rPr>
          <w:rFonts w:ascii="Times New Roman" w:hAnsi="Times New Roman" w:cs="Times New Roman"/>
          <w:sz w:val="24"/>
        </w:rPr>
        <w:t xml:space="preserve"> experienced these</w:t>
      </w:r>
      <w:r w:rsidR="00D61CC2" w:rsidRPr="00DE7077">
        <w:rPr>
          <w:rFonts w:ascii="Times New Roman" w:hAnsi="Times New Roman" w:cs="Times New Roman"/>
          <w:sz w:val="24"/>
        </w:rPr>
        <w:t xml:space="preserve"> elevation</w:t>
      </w:r>
      <w:r w:rsidR="00D61CC2">
        <w:rPr>
          <w:rFonts w:ascii="Times New Roman" w:hAnsi="Times New Roman" w:cs="Times New Roman"/>
          <w:sz w:val="24"/>
        </w:rPr>
        <w:t>s</w:t>
      </w:r>
      <w:r w:rsidR="00D61CC2" w:rsidRPr="00DA3764">
        <w:rPr>
          <w:rFonts w:ascii="Times New Roman" w:hAnsi="Times New Roman" w:cs="Times New Roman"/>
          <w:sz w:val="24"/>
        </w:rPr>
        <w:t xml:space="preserve">. </w:t>
      </w:r>
      <w:r w:rsidR="00D61CC2" w:rsidRPr="002605E6">
        <w:rPr>
          <w:rFonts w:ascii="Times New Roman" w:hAnsi="Times New Roman" w:cs="Times New Roman"/>
          <w:sz w:val="24"/>
        </w:rPr>
        <w:t xml:space="preserve">The HDL cholesterol level at baseline was </w:t>
      </w:r>
      <w:r w:rsidR="00D61CC2" w:rsidRPr="00DA3764">
        <w:rPr>
          <w:rFonts w:ascii="Times New Roman" w:hAnsi="Times New Roman" w:cs="Times New Roman"/>
          <w:sz w:val="24"/>
        </w:rPr>
        <w:t>≥40 mg/</w:t>
      </w:r>
      <w:proofErr w:type="spellStart"/>
      <w:r w:rsidR="00D61CC2" w:rsidRPr="00DA3764">
        <w:rPr>
          <w:rFonts w:ascii="Times New Roman" w:hAnsi="Times New Roman" w:cs="Times New Roman"/>
          <w:sz w:val="24"/>
        </w:rPr>
        <w:t>dL</w:t>
      </w:r>
      <w:proofErr w:type="spellEnd"/>
      <w:r w:rsidR="00D61CC2" w:rsidRPr="00DA3764">
        <w:rPr>
          <w:rFonts w:ascii="Times New Roman" w:hAnsi="Times New Roman" w:cs="Times New Roman"/>
          <w:sz w:val="24"/>
        </w:rPr>
        <w:t xml:space="preserve"> </w:t>
      </w:r>
      <w:r w:rsidR="00D61CC2" w:rsidRPr="002605E6">
        <w:rPr>
          <w:rFonts w:ascii="Times New Roman" w:hAnsi="Times New Roman" w:cs="Times New Roman"/>
          <w:sz w:val="24"/>
        </w:rPr>
        <w:t>in all patients in both groups</w:t>
      </w:r>
      <w:r w:rsidR="00D61CC2">
        <w:rPr>
          <w:rFonts w:ascii="Times New Roman" w:hAnsi="Times New Roman" w:cs="Times New Roman"/>
          <w:sz w:val="24"/>
        </w:rPr>
        <w:t>,</w:t>
      </w:r>
      <w:r w:rsidR="00D61CC2" w:rsidRPr="00DA3764">
        <w:rPr>
          <w:rFonts w:ascii="Times New Roman" w:hAnsi="Times New Roman" w:cs="Times New Roman"/>
          <w:sz w:val="24"/>
        </w:rPr>
        <w:t xml:space="preserve"> and only 1 placebo-treated patient experienced </w:t>
      </w:r>
      <w:r w:rsidR="00D61CC2">
        <w:rPr>
          <w:rFonts w:ascii="Times New Roman" w:hAnsi="Times New Roman" w:cs="Times New Roman"/>
          <w:sz w:val="24"/>
        </w:rPr>
        <w:t>a</w:t>
      </w:r>
      <w:r w:rsidR="00D61CC2" w:rsidRPr="00DA3764">
        <w:rPr>
          <w:rFonts w:ascii="Times New Roman" w:hAnsi="Times New Roman" w:cs="Times New Roman"/>
          <w:sz w:val="24"/>
        </w:rPr>
        <w:t xml:space="preserve"> decrease to </w:t>
      </w:r>
      <w:r w:rsidR="00D61CC2" w:rsidRPr="002605E6">
        <w:rPr>
          <w:rFonts w:ascii="Times New Roman" w:hAnsi="Times New Roman" w:cs="Times New Roman"/>
          <w:sz w:val="24"/>
        </w:rPr>
        <w:t>&lt;4</w:t>
      </w:r>
      <w:r w:rsidR="00D61CC2" w:rsidRPr="00DA3764">
        <w:rPr>
          <w:rFonts w:ascii="Times New Roman" w:hAnsi="Times New Roman" w:cs="Times New Roman"/>
          <w:sz w:val="24"/>
        </w:rPr>
        <w:t>0 mg/</w:t>
      </w:r>
      <w:proofErr w:type="spellStart"/>
      <w:r w:rsidR="00D61CC2" w:rsidRPr="00DA3764">
        <w:rPr>
          <w:rFonts w:ascii="Times New Roman" w:hAnsi="Times New Roman" w:cs="Times New Roman"/>
          <w:sz w:val="24"/>
        </w:rPr>
        <w:t>dL</w:t>
      </w:r>
      <w:proofErr w:type="spellEnd"/>
      <w:r w:rsidR="00D61CC2" w:rsidRPr="002605E6">
        <w:rPr>
          <w:rFonts w:ascii="Times New Roman" w:hAnsi="Times New Roman" w:cs="Times New Roman"/>
          <w:sz w:val="24"/>
        </w:rPr>
        <w:t xml:space="preserve"> during the study</w:t>
      </w:r>
      <w:r w:rsidR="00D61CC2" w:rsidRPr="00DA3764">
        <w:rPr>
          <w:rFonts w:ascii="Times New Roman" w:hAnsi="Times New Roman" w:cs="Times New Roman"/>
          <w:sz w:val="24"/>
        </w:rPr>
        <w:t>.</w:t>
      </w:r>
      <w:r w:rsidR="00D61CC2" w:rsidRPr="00DA3764">
        <w:rPr>
          <w:rFonts w:ascii="Times New Roman" w:hAnsi="Times New Roman" w:cs="Times New Roman"/>
          <w:sz w:val="24"/>
          <w:lang w:eastAsia="ja-JP"/>
        </w:rPr>
        <w:t xml:space="preserve"> </w:t>
      </w:r>
      <w:r w:rsidR="00D61CC2" w:rsidRPr="002605E6">
        <w:rPr>
          <w:rFonts w:ascii="Times New Roman" w:hAnsi="Times New Roman" w:cs="Times New Roman"/>
          <w:sz w:val="24"/>
          <w:lang w:eastAsia="ja-JP"/>
        </w:rPr>
        <w:t>Elevation of</w:t>
      </w:r>
      <w:r w:rsidR="00D61CC2" w:rsidRPr="00B22C18">
        <w:rPr>
          <w:rFonts w:ascii="Times New Roman" w:hAnsi="Times New Roman" w:cs="Times New Roman"/>
          <w:sz w:val="24"/>
          <w:lang w:eastAsia="ja-JP"/>
        </w:rPr>
        <w:t xml:space="preserve"> </w:t>
      </w:r>
      <w:r w:rsidR="001342EA">
        <w:rPr>
          <w:rFonts w:ascii="Times New Roman" w:hAnsi="Times New Roman" w:cs="Times New Roman"/>
          <w:sz w:val="24"/>
          <w:lang w:eastAsia="ja-JP"/>
        </w:rPr>
        <w:t xml:space="preserve">the </w:t>
      </w:r>
      <w:r w:rsidR="00D61CC2" w:rsidRPr="00B22C18">
        <w:rPr>
          <w:rFonts w:ascii="Times New Roman" w:hAnsi="Times New Roman" w:cs="Times New Roman"/>
          <w:sz w:val="24"/>
          <w:lang w:eastAsia="ja-JP"/>
        </w:rPr>
        <w:t>triglyceride level</w:t>
      </w:r>
      <w:r w:rsidR="00D61CC2" w:rsidRPr="002605E6">
        <w:rPr>
          <w:rFonts w:ascii="Times New Roman" w:hAnsi="Times New Roman" w:cs="Times New Roman"/>
          <w:sz w:val="24"/>
          <w:lang w:eastAsia="ja-JP"/>
        </w:rPr>
        <w:t xml:space="preserve"> to CTCAE grade 2 was reported in 2 patients in each group. </w:t>
      </w:r>
      <w:r w:rsidR="00D61CC2" w:rsidRPr="002605E6">
        <w:rPr>
          <w:rFonts w:ascii="Times New Roman" w:hAnsi="Times New Roman" w:cs="Times New Roman"/>
          <w:sz w:val="24"/>
        </w:rPr>
        <w:t xml:space="preserve">No patient </w:t>
      </w:r>
      <w:r w:rsidR="00D61CC2" w:rsidRPr="00B22C18">
        <w:rPr>
          <w:rFonts w:ascii="Times New Roman" w:hAnsi="Times New Roman" w:cs="Times New Roman"/>
          <w:sz w:val="24"/>
        </w:rPr>
        <w:lastRenderedPageBreak/>
        <w:t>experienced</w:t>
      </w:r>
      <w:r w:rsidR="00D61CC2" w:rsidRPr="002605E6">
        <w:rPr>
          <w:rFonts w:ascii="Times New Roman" w:hAnsi="Times New Roman" w:cs="Times New Roman"/>
          <w:sz w:val="24"/>
        </w:rPr>
        <w:t xml:space="preserve"> triglyceride</w:t>
      </w:r>
      <w:r w:rsidR="00D61CC2" w:rsidRPr="00B22C18">
        <w:rPr>
          <w:rFonts w:ascii="Times New Roman" w:hAnsi="Times New Roman" w:cs="Times New Roman"/>
          <w:sz w:val="24"/>
        </w:rPr>
        <w:t xml:space="preserve"> </w:t>
      </w:r>
      <w:r w:rsidR="00D61CC2" w:rsidRPr="002605E6">
        <w:rPr>
          <w:rFonts w:ascii="Times New Roman" w:hAnsi="Times New Roman" w:cs="Times New Roman"/>
          <w:sz w:val="24"/>
        </w:rPr>
        <w:t>level elevation above grade 2</w:t>
      </w:r>
      <w:r w:rsidR="00D61CC2" w:rsidRPr="00B22C18">
        <w:rPr>
          <w:rFonts w:ascii="Times New Roman" w:hAnsi="Times New Roman" w:cs="Times New Roman"/>
          <w:sz w:val="24"/>
        </w:rPr>
        <w:t xml:space="preserve"> during the study.</w:t>
      </w:r>
      <w:r w:rsidR="00D61CC2" w:rsidRPr="00DA3764">
        <w:rPr>
          <w:rFonts w:ascii="Times New Roman" w:hAnsi="Times New Roman" w:cs="Times New Roman"/>
          <w:sz w:val="24"/>
        </w:rPr>
        <w:t xml:space="preserve"> </w:t>
      </w:r>
      <w:r w:rsidR="00D61CC2">
        <w:rPr>
          <w:rFonts w:ascii="Times New Roman" w:hAnsi="Times New Roman" w:cs="Times New Roman"/>
          <w:sz w:val="24"/>
        </w:rPr>
        <w:t>N</w:t>
      </w:r>
      <w:r w:rsidR="00D61CC2" w:rsidRPr="00B22C18">
        <w:rPr>
          <w:rFonts w:ascii="Times New Roman" w:hAnsi="Times New Roman" w:cs="Times New Roman"/>
          <w:sz w:val="24"/>
        </w:rPr>
        <w:t xml:space="preserve">o </w:t>
      </w:r>
      <w:r w:rsidR="00D61CC2">
        <w:rPr>
          <w:rFonts w:ascii="Times New Roman" w:hAnsi="Times New Roman" w:cs="Times New Roman"/>
          <w:sz w:val="24"/>
        </w:rPr>
        <w:t xml:space="preserve">patients experienced </w:t>
      </w:r>
      <w:r w:rsidR="00D61CC2" w:rsidRPr="00B22C18">
        <w:rPr>
          <w:rFonts w:ascii="Times New Roman" w:hAnsi="Times New Roman" w:cs="Times New Roman"/>
          <w:sz w:val="24"/>
        </w:rPr>
        <w:t>adverse events requiring therapeutic intervention for lipid abnormalities.</w:t>
      </w:r>
    </w:p>
    <w:p w14:paraId="40625C9C" w14:textId="77777777" w:rsidR="00A47B7E" w:rsidRPr="00DE7077" w:rsidRDefault="00A47B7E" w:rsidP="003B1AC5">
      <w:pPr>
        <w:spacing w:line="480" w:lineRule="auto"/>
        <w:ind w:firstLine="720"/>
        <w:rPr>
          <w:rFonts w:ascii="Times New Roman" w:hAnsi="Times New Roman" w:cs="Times New Roman"/>
          <w:vanish/>
          <w:sz w:val="24"/>
          <w:szCs w:val="24"/>
        </w:rPr>
      </w:pPr>
    </w:p>
    <w:p w14:paraId="7E8817D8" w14:textId="77777777" w:rsidR="003B1AC5" w:rsidRPr="00DE7077" w:rsidRDefault="003B1AC5" w:rsidP="00700C5D">
      <w:pPr>
        <w:spacing w:after="0" w:line="480" w:lineRule="auto"/>
        <w:rPr>
          <w:rFonts w:ascii="Times New Roman" w:hAnsi="Times New Roman" w:cs="Times New Roman"/>
          <w:b/>
          <w:sz w:val="24"/>
          <w:szCs w:val="24"/>
        </w:rPr>
        <w:sectPr w:rsidR="003B1AC5" w:rsidRPr="00DE7077" w:rsidSect="00986FF5">
          <w:footerReference w:type="default" r:id="rId8"/>
          <w:pgSz w:w="11906" w:h="16838"/>
          <w:pgMar w:top="1440" w:right="1440" w:bottom="1440" w:left="1440" w:header="708" w:footer="708" w:gutter="0"/>
          <w:cols w:space="708"/>
          <w:docGrid w:linePitch="360"/>
        </w:sectPr>
      </w:pPr>
    </w:p>
    <w:p w14:paraId="6DE0BDDB" w14:textId="682F6D7C" w:rsidR="003B1AC5" w:rsidRPr="00DE7077" w:rsidRDefault="003B1AC5" w:rsidP="00700C5D">
      <w:pPr>
        <w:spacing w:after="0" w:line="480" w:lineRule="auto"/>
        <w:rPr>
          <w:rFonts w:ascii="Times New Roman" w:hAnsi="Times New Roman" w:cs="Times New Roman"/>
          <w:b/>
          <w:sz w:val="24"/>
          <w:szCs w:val="24"/>
        </w:rPr>
      </w:pPr>
    </w:p>
    <w:p w14:paraId="385F7580" w14:textId="513C8559" w:rsidR="00AB304D" w:rsidRPr="00DA3764" w:rsidRDefault="00AB304D" w:rsidP="00700C5D">
      <w:pPr>
        <w:spacing w:after="0" w:line="480" w:lineRule="auto"/>
        <w:rPr>
          <w:rFonts w:ascii="Times New Roman" w:hAnsi="Times New Roman" w:cs="Times New Roman"/>
          <w:b/>
          <w:sz w:val="24"/>
          <w:szCs w:val="24"/>
        </w:rPr>
      </w:pPr>
      <w:r w:rsidRPr="00DA3764">
        <w:rPr>
          <w:rFonts w:ascii="Times New Roman" w:hAnsi="Times New Roman" w:cs="Times New Roman"/>
          <w:b/>
          <w:sz w:val="24"/>
          <w:szCs w:val="24"/>
        </w:rPr>
        <w:t>Supplementary Table S1. Definition</w:t>
      </w:r>
      <w:r w:rsidR="00D80F30" w:rsidRPr="00DA3764">
        <w:rPr>
          <w:rFonts w:ascii="Times New Roman" w:hAnsi="Times New Roman" w:cs="Times New Roman"/>
          <w:b/>
          <w:sz w:val="24"/>
          <w:szCs w:val="24"/>
        </w:rPr>
        <w:t xml:space="preserve">s of relapse of </w:t>
      </w:r>
      <w:proofErr w:type="spellStart"/>
      <w:r w:rsidR="00D80F30" w:rsidRPr="00DA3764">
        <w:rPr>
          <w:rFonts w:ascii="Times New Roman" w:hAnsi="Times New Roman" w:cs="Times New Roman"/>
          <w:b/>
          <w:sz w:val="24"/>
          <w:szCs w:val="24"/>
        </w:rPr>
        <w:t>Takayasu</w:t>
      </w:r>
      <w:proofErr w:type="spellEnd"/>
      <w:r w:rsidR="00D80F30" w:rsidRPr="00DA3764">
        <w:rPr>
          <w:rFonts w:ascii="Times New Roman" w:hAnsi="Times New Roman" w:cs="Times New Roman"/>
          <w:b/>
          <w:sz w:val="24"/>
          <w:szCs w:val="24"/>
        </w:rPr>
        <w:t xml:space="preserve"> a</w:t>
      </w:r>
      <w:r w:rsidRPr="00DA3764">
        <w:rPr>
          <w:rFonts w:ascii="Times New Roman" w:hAnsi="Times New Roman" w:cs="Times New Roman"/>
          <w:b/>
          <w:sz w:val="24"/>
          <w:szCs w:val="24"/>
        </w:rPr>
        <w:t>rteritis</w:t>
      </w:r>
      <w:r w:rsidR="00857120" w:rsidRPr="00DA3764">
        <w:rPr>
          <w:rFonts w:ascii="Times New Roman" w:hAnsi="Times New Roman" w:cs="Times New Roman"/>
          <w:b/>
          <w:sz w:val="24"/>
          <w:szCs w:val="24"/>
        </w:rPr>
        <w:t xml:space="preserve"> </w:t>
      </w:r>
    </w:p>
    <w:tbl>
      <w:tblPr>
        <w:tblStyle w:val="ab"/>
        <w:tblW w:w="5000" w:type="pct"/>
        <w:tblLook w:val="04A0" w:firstRow="1" w:lastRow="0" w:firstColumn="1" w:lastColumn="0" w:noHBand="0" w:noVBand="1"/>
      </w:tblPr>
      <w:tblGrid>
        <w:gridCol w:w="4651"/>
        <w:gridCol w:w="4647"/>
        <w:gridCol w:w="4650"/>
      </w:tblGrid>
      <w:tr w:rsidR="00AB304D" w:rsidRPr="00DA3764" w14:paraId="0CEA7A3D" w14:textId="77777777" w:rsidTr="00385D8D">
        <w:tc>
          <w:tcPr>
            <w:tcW w:w="1667" w:type="pct"/>
          </w:tcPr>
          <w:p w14:paraId="146D1504" w14:textId="53A6048D" w:rsidR="00AB304D" w:rsidRPr="00DA3764" w:rsidRDefault="00AB304D" w:rsidP="0008256D">
            <w:pPr>
              <w:spacing w:line="276" w:lineRule="auto"/>
              <w:rPr>
                <w:rFonts w:ascii="Times New Roman" w:hAnsi="Times New Roman" w:cs="Times New Roman"/>
                <w:b/>
              </w:rPr>
            </w:pPr>
            <w:r w:rsidRPr="00DA3764">
              <w:rPr>
                <w:rFonts w:ascii="Times New Roman" w:hAnsi="Times New Roman" w:cs="Times New Roman"/>
                <w:b/>
              </w:rPr>
              <w:t>Category</w:t>
            </w:r>
          </w:p>
        </w:tc>
        <w:tc>
          <w:tcPr>
            <w:tcW w:w="1666" w:type="pct"/>
          </w:tcPr>
          <w:p w14:paraId="37CC02D6" w14:textId="62DFF6E2" w:rsidR="00AB304D" w:rsidRPr="00DA3764" w:rsidRDefault="00AB304D" w:rsidP="0008256D">
            <w:pPr>
              <w:spacing w:line="276" w:lineRule="auto"/>
              <w:rPr>
                <w:rFonts w:ascii="Times New Roman" w:hAnsi="Times New Roman" w:cs="Times New Roman"/>
                <w:b/>
              </w:rPr>
            </w:pPr>
            <w:r w:rsidRPr="00DA3764">
              <w:rPr>
                <w:rFonts w:ascii="Times New Roman" w:hAnsi="Times New Roman" w:cs="Times New Roman"/>
                <w:b/>
              </w:rPr>
              <w:t>Inclusion criteria definition</w:t>
            </w:r>
          </w:p>
        </w:tc>
        <w:tc>
          <w:tcPr>
            <w:tcW w:w="1667" w:type="pct"/>
          </w:tcPr>
          <w:p w14:paraId="2895910D" w14:textId="182FD358" w:rsidR="00AB304D" w:rsidRPr="00DA3764" w:rsidRDefault="00857120" w:rsidP="0008256D">
            <w:pPr>
              <w:spacing w:line="276" w:lineRule="auto"/>
              <w:rPr>
                <w:rFonts w:ascii="Times New Roman" w:hAnsi="Times New Roman" w:cs="Times New Roman"/>
                <w:b/>
              </w:rPr>
            </w:pPr>
            <w:r w:rsidRPr="00DA3764">
              <w:rPr>
                <w:rFonts w:ascii="Times New Roman" w:hAnsi="Times New Roman" w:cs="Times New Roman"/>
                <w:b/>
              </w:rPr>
              <w:t>End of double-blind period/e</w:t>
            </w:r>
            <w:r w:rsidR="00AB304D" w:rsidRPr="00DA3764">
              <w:rPr>
                <w:rFonts w:ascii="Times New Roman" w:hAnsi="Times New Roman" w:cs="Times New Roman"/>
                <w:b/>
              </w:rPr>
              <w:t>fficacy evaluation definition</w:t>
            </w:r>
          </w:p>
        </w:tc>
      </w:tr>
      <w:tr w:rsidR="00AB304D" w:rsidRPr="00DA3764" w14:paraId="38520FA8" w14:textId="77777777" w:rsidTr="00385D8D">
        <w:tc>
          <w:tcPr>
            <w:tcW w:w="1667" w:type="pct"/>
          </w:tcPr>
          <w:p w14:paraId="1A6039D3" w14:textId="262D3862" w:rsidR="00AB304D" w:rsidRPr="00DA3764" w:rsidRDefault="006433C0" w:rsidP="0008256D">
            <w:pPr>
              <w:spacing w:line="276" w:lineRule="auto"/>
              <w:rPr>
                <w:rFonts w:ascii="Times New Roman" w:hAnsi="Times New Roman" w:cs="Times New Roman"/>
              </w:rPr>
            </w:pPr>
            <w:r w:rsidRPr="00DA3764">
              <w:rPr>
                <w:rFonts w:ascii="Times New Roman" w:hAnsi="Times New Roman" w:cs="Times New Roman"/>
              </w:rPr>
              <w:t xml:space="preserve">1. </w:t>
            </w:r>
            <w:r w:rsidR="00C21819" w:rsidRPr="00DA3764">
              <w:rPr>
                <w:rFonts w:ascii="Times New Roman" w:hAnsi="Times New Roman" w:cs="Times New Roman"/>
              </w:rPr>
              <w:t>Systemic symptoms (objective assessment)</w:t>
            </w:r>
          </w:p>
        </w:tc>
        <w:tc>
          <w:tcPr>
            <w:tcW w:w="1666" w:type="pct"/>
          </w:tcPr>
          <w:p w14:paraId="62BF2C04" w14:textId="460DDB10" w:rsidR="00D80F30" w:rsidRPr="00DA3764" w:rsidRDefault="00D80F30" w:rsidP="0008256D">
            <w:pPr>
              <w:pStyle w:val="Default"/>
              <w:spacing w:line="276" w:lineRule="auto"/>
              <w:rPr>
                <w:sz w:val="22"/>
                <w:szCs w:val="22"/>
              </w:rPr>
            </w:pPr>
            <w:r w:rsidRPr="00DA3764">
              <w:rPr>
                <w:sz w:val="22"/>
                <w:szCs w:val="22"/>
              </w:rPr>
              <w:t xml:space="preserve">An assessment of </w:t>
            </w:r>
            <w:r w:rsidR="0048615D" w:rsidRPr="00DA3764">
              <w:rPr>
                <w:sz w:val="22"/>
                <w:szCs w:val="22"/>
              </w:rPr>
              <w:t>‘</w:t>
            </w:r>
            <w:r w:rsidRPr="00DA3764">
              <w:rPr>
                <w:sz w:val="22"/>
                <w:szCs w:val="22"/>
              </w:rPr>
              <w:t>signs of relapse present</w:t>
            </w:r>
            <w:r w:rsidR="0048615D" w:rsidRPr="00DA3764">
              <w:rPr>
                <w:sz w:val="22"/>
                <w:szCs w:val="22"/>
              </w:rPr>
              <w:t>’</w:t>
            </w:r>
            <w:r w:rsidRPr="00DA3764">
              <w:rPr>
                <w:sz w:val="22"/>
                <w:szCs w:val="22"/>
              </w:rPr>
              <w:t xml:space="preserve"> should be made for this category if any of the following are observed </w:t>
            </w:r>
          </w:p>
          <w:p w14:paraId="5B08907C" w14:textId="5FB72582" w:rsidR="00D80F30" w:rsidRPr="00DA3764" w:rsidRDefault="00D80F30" w:rsidP="0008256D">
            <w:pPr>
              <w:pStyle w:val="Default"/>
              <w:numPr>
                <w:ilvl w:val="0"/>
                <w:numId w:val="5"/>
              </w:numPr>
              <w:spacing w:line="276" w:lineRule="auto"/>
              <w:ind w:left="276" w:hanging="180"/>
              <w:rPr>
                <w:sz w:val="22"/>
                <w:szCs w:val="22"/>
              </w:rPr>
            </w:pPr>
            <w:r w:rsidRPr="00DA3764">
              <w:rPr>
                <w:sz w:val="22"/>
                <w:szCs w:val="22"/>
              </w:rPr>
              <w:t xml:space="preserve">Fever: </w:t>
            </w:r>
            <w:r w:rsidR="00FC3825" w:rsidRPr="00DA3764">
              <w:rPr>
                <w:sz w:val="22"/>
                <w:szCs w:val="22"/>
              </w:rPr>
              <w:t xml:space="preserve">body </w:t>
            </w:r>
            <w:r w:rsidRPr="00DA3764">
              <w:rPr>
                <w:sz w:val="22"/>
                <w:szCs w:val="22"/>
              </w:rPr>
              <w:t xml:space="preserve">temperature ≥38.0°C </w:t>
            </w:r>
          </w:p>
          <w:p w14:paraId="729BC8A0" w14:textId="1E81E6D4" w:rsidR="00D80F30" w:rsidRPr="00DA3764" w:rsidRDefault="00D80F30" w:rsidP="0008256D">
            <w:pPr>
              <w:pStyle w:val="Default"/>
              <w:numPr>
                <w:ilvl w:val="0"/>
                <w:numId w:val="5"/>
              </w:numPr>
              <w:spacing w:line="276" w:lineRule="auto"/>
              <w:ind w:left="276" w:hanging="180"/>
              <w:rPr>
                <w:sz w:val="22"/>
                <w:szCs w:val="22"/>
              </w:rPr>
            </w:pPr>
            <w:r w:rsidRPr="00DA3764">
              <w:rPr>
                <w:sz w:val="22"/>
                <w:szCs w:val="22"/>
              </w:rPr>
              <w:t xml:space="preserve">Weight loss: </w:t>
            </w:r>
            <w:r w:rsidR="00FC3825" w:rsidRPr="00DA3764">
              <w:rPr>
                <w:sz w:val="22"/>
                <w:szCs w:val="22"/>
              </w:rPr>
              <w:t xml:space="preserve">weight </w:t>
            </w:r>
            <w:r w:rsidRPr="00DA3764">
              <w:rPr>
                <w:sz w:val="22"/>
                <w:szCs w:val="22"/>
              </w:rPr>
              <w:t xml:space="preserve">loss </w:t>
            </w:r>
            <w:r w:rsidR="00FC3825" w:rsidRPr="00DA3764">
              <w:rPr>
                <w:sz w:val="22"/>
                <w:szCs w:val="22"/>
              </w:rPr>
              <w:t>&gt;</w:t>
            </w:r>
            <w:r w:rsidRPr="00DA3764">
              <w:rPr>
                <w:sz w:val="22"/>
                <w:szCs w:val="22"/>
              </w:rPr>
              <w:t xml:space="preserve">2 kg in 4 weeks </w:t>
            </w:r>
          </w:p>
          <w:p w14:paraId="789707F3" w14:textId="35445C5F" w:rsidR="00AB304D" w:rsidRPr="00DA3764" w:rsidRDefault="00D80F30" w:rsidP="0008256D">
            <w:pPr>
              <w:pStyle w:val="Default"/>
              <w:numPr>
                <w:ilvl w:val="0"/>
                <w:numId w:val="5"/>
              </w:numPr>
              <w:spacing w:line="276" w:lineRule="auto"/>
              <w:ind w:left="276" w:hanging="180"/>
              <w:rPr>
                <w:sz w:val="22"/>
                <w:szCs w:val="22"/>
              </w:rPr>
            </w:pPr>
            <w:r w:rsidRPr="00DA3764">
              <w:rPr>
                <w:sz w:val="22"/>
                <w:szCs w:val="22"/>
              </w:rPr>
              <w:t xml:space="preserve">Arthritis: </w:t>
            </w:r>
            <w:r w:rsidR="00FC3825" w:rsidRPr="00DA3764">
              <w:rPr>
                <w:sz w:val="22"/>
                <w:szCs w:val="22"/>
              </w:rPr>
              <w:t xml:space="preserve">joint </w:t>
            </w:r>
            <w:r w:rsidRPr="00DA3764">
              <w:rPr>
                <w:sz w:val="22"/>
                <w:szCs w:val="22"/>
              </w:rPr>
              <w:t xml:space="preserve">symptoms in </w:t>
            </w:r>
            <w:r w:rsidR="00FC3825" w:rsidRPr="00DA3764">
              <w:rPr>
                <w:sz w:val="22"/>
                <w:szCs w:val="22"/>
              </w:rPr>
              <w:t>≥</w:t>
            </w:r>
            <w:r w:rsidRPr="00DA3764">
              <w:rPr>
                <w:sz w:val="22"/>
                <w:szCs w:val="22"/>
              </w:rPr>
              <w:t xml:space="preserve">2 joints (arthralgia, swelling and tenderness in joints) </w:t>
            </w:r>
          </w:p>
        </w:tc>
        <w:tc>
          <w:tcPr>
            <w:tcW w:w="1667" w:type="pct"/>
          </w:tcPr>
          <w:p w14:paraId="6FEB7A43" w14:textId="40B76903" w:rsidR="001738E7" w:rsidRPr="00DA3764" w:rsidRDefault="001738E7" w:rsidP="0008256D">
            <w:pPr>
              <w:pStyle w:val="Default"/>
              <w:spacing w:line="276" w:lineRule="auto"/>
              <w:rPr>
                <w:sz w:val="22"/>
                <w:szCs w:val="22"/>
              </w:rPr>
            </w:pPr>
            <w:r w:rsidRPr="00DA3764">
              <w:rPr>
                <w:sz w:val="22"/>
                <w:szCs w:val="22"/>
              </w:rPr>
              <w:t xml:space="preserve">An assessment of </w:t>
            </w:r>
            <w:r w:rsidR="0048615D" w:rsidRPr="00DA3764">
              <w:rPr>
                <w:sz w:val="22"/>
                <w:szCs w:val="22"/>
              </w:rPr>
              <w:t>‘</w:t>
            </w:r>
            <w:r w:rsidRPr="00DA3764">
              <w:rPr>
                <w:sz w:val="22"/>
                <w:szCs w:val="22"/>
              </w:rPr>
              <w:t>signs of relapse present</w:t>
            </w:r>
            <w:r w:rsidR="0048615D" w:rsidRPr="00DA3764">
              <w:rPr>
                <w:sz w:val="22"/>
                <w:szCs w:val="22"/>
              </w:rPr>
              <w:t>’</w:t>
            </w:r>
            <w:r w:rsidRPr="00DA3764">
              <w:rPr>
                <w:sz w:val="22"/>
                <w:szCs w:val="22"/>
              </w:rPr>
              <w:t xml:space="preserve"> should be made for this category if any of the following are observed </w:t>
            </w:r>
          </w:p>
          <w:p w14:paraId="37BE5187" w14:textId="43780BAF" w:rsidR="001738E7" w:rsidRPr="00DA3764" w:rsidRDefault="001738E7" w:rsidP="0008256D">
            <w:pPr>
              <w:pStyle w:val="Default"/>
              <w:numPr>
                <w:ilvl w:val="0"/>
                <w:numId w:val="10"/>
              </w:numPr>
              <w:spacing w:line="276" w:lineRule="auto"/>
              <w:ind w:left="219" w:hanging="180"/>
              <w:rPr>
                <w:sz w:val="22"/>
                <w:szCs w:val="22"/>
              </w:rPr>
            </w:pPr>
            <w:r w:rsidRPr="00DA3764">
              <w:rPr>
                <w:sz w:val="22"/>
                <w:szCs w:val="22"/>
              </w:rPr>
              <w:t xml:space="preserve">Fever: </w:t>
            </w:r>
            <w:r w:rsidR="00FC3825" w:rsidRPr="00DA3764">
              <w:rPr>
                <w:sz w:val="22"/>
                <w:szCs w:val="22"/>
              </w:rPr>
              <w:t xml:space="preserve">body </w:t>
            </w:r>
            <w:r w:rsidRPr="00DA3764">
              <w:rPr>
                <w:sz w:val="22"/>
                <w:szCs w:val="22"/>
              </w:rPr>
              <w:t xml:space="preserve">temperature ≥38.0°C </w:t>
            </w:r>
          </w:p>
          <w:p w14:paraId="1B4A852E" w14:textId="788105D0" w:rsidR="001738E7" w:rsidRPr="00DA3764" w:rsidRDefault="001738E7" w:rsidP="0008256D">
            <w:pPr>
              <w:pStyle w:val="Default"/>
              <w:numPr>
                <w:ilvl w:val="0"/>
                <w:numId w:val="10"/>
              </w:numPr>
              <w:spacing w:line="276" w:lineRule="auto"/>
              <w:ind w:left="219" w:hanging="180"/>
              <w:rPr>
                <w:sz w:val="22"/>
                <w:szCs w:val="22"/>
              </w:rPr>
            </w:pPr>
            <w:r w:rsidRPr="00DA3764">
              <w:rPr>
                <w:sz w:val="22"/>
                <w:szCs w:val="22"/>
              </w:rPr>
              <w:t xml:space="preserve">Weight loss: </w:t>
            </w:r>
            <w:r w:rsidR="00FC3825" w:rsidRPr="00DA3764">
              <w:rPr>
                <w:sz w:val="22"/>
                <w:szCs w:val="22"/>
              </w:rPr>
              <w:t xml:space="preserve">weight </w:t>
            </w:r>
            <w:r w:rsidRPr="00DA3764">
              <w:rPr>
                <w:sz w:val="22"/>
                <w:szCs w:val="22"/>
              </w:rPr>
              <w:t xml:space="preserve">loss </w:t>
            </w:r>
            <w:r w:rsidR="00FC3825" w:rsidRPr="00DA3764">
              <w:rPr>
                <w:sz w:val="22"/>
                <w:szCs w:val="22"/>
              </w:rPr>
              <w:t>&gt;</w:t>
            </w:r>
            <w:r w:rsidRPr="00DA3764">
              <w:rPr>
                <w:sz w:val="22"/>
                <w:szCs w:val="22"/>
              </w:rPr>
              <w:t xml:space="preserve">2 kg since the previous measurement </w:t>
            </w:r>
          </w:p>
          <w:p w14:paraId="5518ED3D" w14:textId="1A602DE4" w:rsidR="00AB304D" w:rsidRPr="00DA3764" w:rsidRDefault="001738E7" w:rsidP="0008256D">
            <w:pPr>
              <w:pStyle w:val="Default"/>
              <w:numPr>
                <w:ilvl w:val="0"/>
                <w:numId w:val="10"/>
              </w:numPr>
              <w:spacing w:line="276" w:lineRule="auto"/>
              <w:ind w:left="219" w:hanging="180"/>
              <w:rPr>
                <w:sz w:val="22"/>
                <w:szCs w:val="22"/>
              </w:rPr>
            </w:pPr>
            <w:r w:rsidRPr="00DA3764">
              <w:rPr>
                <w:sz w:val="22"/>
                <w:szCs w:val="22"/>
              </w:rPr>
              <w:t xml:space="preserve">Arthritis: </w:t>
            </w:r>
            <w:r w:rsidR="00FC3825" w:rsidRPr="00DA3764">
              <w:rPr>
                <w:sz w:val="22"/>
                <w:szCs w:val="22"/>
              </w:rPr>
              <w:t xml:space="preserve">joint </w:t>
            </w:r>
            <w:r w:rsidRPr="00DA3764">
              <w:rPr>
                <w:sz w:val="22"/>
                <w:szCs w:val="22"/>
              </w:rPr>
              <w:t xml:space="preserve">symptoms in </w:t>
            </w:r>
            <w:r w:rsidR="00FC3825" w:rsidRPr="00DA3764">
              <w:rPr>
                <w:sz w:val="22"/>
                <w:szCs w:val="22"/>
              </w:rPr>
              <w:t>≥</w:t>
            </w:r>
            <w:r w:rsidRPr="00DA3764">
              <w:rPr>
                <w:sz w:val="22"/>
                <w:szCs w:val="22"/>
              </w:rPr>
              <w:t xml:space="preserve">2 joints (arthralgia, swelling and tenderness in joints) </w:t>
            </w:r>
          </w:p>
        </w:tc>
      </w:tr>
      <w:tr w:rsidR="00AB304D" w:rsidRPr="00DA3764" w14:paraId="7907A388" w14:textId="77777777" w:rsidTr="00385D8D">
        <w:tc>
          <w:tcPr>
            <w:tcW w:w="1667" w:type="pct"/>
          </w:tcPr>
          <w:p w14:paraId="3F2F7959" w14:textId="447BA9FF" w:rsidR="00AB304D" w:rsidRPr="00DA3764" w:rsidRDefault="006433C0" w:rsidP="0008256D">
            <w:pPr>
              <w:spacing w:line="276" w:lineRule="auto"/>
              <w:rPr>
                <w:rFonts w:ascii="Times New Roman" w:hAnsi="Times New Roman" w:cs="Times New Roman"/>
              </w:rPr>
            </w:pPr>
            <w:r w:rsidRPr="00DA3764">
              <w:rPr>
                <w:rFonts w:ascii="Times New Roman" w:hAnsi="Times New Roman" w:cs="Times New Roman"/>
              </w:rPr>
              <w:t xml:space="preserve">2. </w:t>
            </w:r>
            <w:r w:rsidR="00D80F30" w:rsidRPr="00DA3764">
              <w:rPr>
                <w:rFonts w:ascii="Times New Roman" w:hAnsi="Times New Roman" w:cs="Times New Roman"/>
              </w:rPr>
              <w:t>Systemic symptoms (subjective assessment)</w:t>
            </w:r>
          </w:p>
        </w:tc>
        <w:tc>
          <w:tcPr>
            <w:tcW w:w="1666" w:type="pct"/>
          </w:tcPr>
          <w:p w14:paraId="7769BB8E" w14:textId="5396B467" w:rsidR="00D91CB0" w:rsidRPr="00DA3764" w:rsidRDefault="00D91CB0" w:rsidP="0008256D">
            <w:pPr>
              <w:pStyle w:val="Default"/>
              <w:spacing w:line="276" w:lineRule="auto"/>
              <w:rPr>
                <w:sz w:val="22"/>
                <w:szCs w:val="22"/>
              </w:rPr>
            </w:pPr>
            <w:r w:rsidRPr="00DA3764">
              <w:rPr>
                <w:sz w:val="22"/>
                <w:szCs w:val="22"/>
              </w:rPr>
              <w:t xml:space="preserve">An assessment of </w:t>
            </w:r>
            <w:r w:rsidR="0048615D" w:rsidRPr="00DA3764">
              <w:rPr>
                <w:sz w:val="22"/>
                <w:szCs w:val="22"/>
              </w:rPr>
              <w:t>‘</w:t>
            </w:r>
            <w:r w:rsidRPr="00DA3764">
              <w:rPr>
                <w:sz w:val="22"/>
                <w:szCs w:val="22"/>
              </w:rPr>
              <w:t>signs of relapse present</w:t>
            </w:r>
            <w:r w:rsidR="0048615D" w:rsidRPr="00DA3764">
              <w:rPr>
                <w:sz w:val="22"/>
                <w:szCs w:val="22"/>
              </w:rPr>
              <w:t>’</w:t>
            </w:r>
            <w:r w:rsidRPr="00DA3764">
              <w:rPr>
                <w:sz w:val="22"/>
                <w:szCs w:val="22"/>
              </w:rPr>
              <w:t xml:space="preserve"> should be made for this category if any of the following symptoms are observed at </w:t>
            </w:r>
            <w:r w:rsidR="00FC3825" w:rsidRPr="00DA3764">
              <w:rPr>
                <w:sz w:val="22"/>
                <w:szCs w:val="22"/>
              </w:rPr>
              <w:t xml:space="preserve">grade </w:t>
            </w:r>
            <w:r w:rsidRPr="00DA3764">
              <w:rPr>
                <w:sz w:val="22"/>
                <w:szCs w:val="22"/>
              </w:rPr>
              <w:t xml:space="preserve">2 or higher </w:t>
            </w:r>
          </w:p>
          <w:p w14:paraId="2E4D2375" w14:textId="4254F632" w:rsidR="00D91CB0" w:rsidRPr="00DA3764" w:rsidRDefault="00D91CB0" w:rsidP="0008256D">
            <w:pPr>
              <w:pStyle w:val="Default"/>
              <w:numPr>
                <w:ilvl w:val="0"/>
                <w:numId w:val="6"/>
              </w:numPr>
              <w:spacing w:line="276" w:lineRule="auto"/>
              <w:ind w:left="276" w:hanging="270"/>
              <w:rPr>
                <w:sz w:val="22"/>
                <w:szCs w:val="22"/>
              </w:rPr>
            </w:pPr>
            <w:r w:rsidRPr="00DA3764">
              <w:rPr>
                <w:sz w:val="22"/>
                <w:szCs w:val="22"/>
              </w:rPr>
              <w:t xml:space="preserve">Malaise </w:t>
            </w:r>
          </w:p>
          <w:p w14:paraId="6056167E" w14:textId="4BEE7767" w:rsidR="00D91CB0" w:rsidRPr="00DA3764" w:rsidRDefault="00D91CB0" w:rsidP="0008256D">
            <w:pPr>
              <w:pStyle w:val="Default"/>
              <w:numPr>
                <w:ilvl w:val="0"/>
                <w:numId w:val="6"/>
              </w:numPr>
              <w:spacing w:line="276" w:lineRule="auto"/>
              <w:ind w:left="276" w:hanging="270"/>
              <w:rPr>
                <w:sz w:val="22"/>
                <w:szCs w:val="22"/>
              </w:rPr>
            </w:pPr>
            <w:r w:rsidRPr="00DA3764">
              <w:rPr>
                <w:sz w:val="22"/>
                <w:szCs w:val="22"/>
              </w:rPr>
              <w:t xml:space="preserve">Myalgia </w:t>
            </w:r>
          </w:p>
          <w:p w14:paraId="61A9DB8E" w14:textId="1A94BD4F" w:rsidR="00D91CB0" w:rsidRPr="00DA3764" w:rsidRDefault="00D91CB0" w:rsidP="0008256D">
            <w:pPr>
              <w:pStyle w:val="Default"/>
              <w:numPr>
                <w:ilvl w:val="0"/>
                <w:numId w:val="6"/>
              </w:numPr>
              <w:spacing w:line="276" w:lineRule="auto"/>
              <w:ind w:left="276" w:hanging="270"/>
              <w:rPr>
                <w:sz w:val="22"/>
                <w:szCs w:val="22"/>
              </w:rPr>
            </w:pPr>
            <w:r w:rsidRPr="00DA3764">
              <w:rPr>
                <w:sz w:val="22"/>
                <w:szCs w:val="22"/>
              </w:rPr>
              <w:t xml:space="preserve">Headache </w:t>
            </w:r>
          </w:p>
          <w:p w14:paraId="1B4F1297" w14:textId="7ACDF67D" w:rsidR="00AB304D" w:rsidRPr="00DA3764" w:rsidRDefault="00D91CB0" w:rsidP="0008256D">
            <w:pPr>
              <w:pStyle w:val="Default"/>
              <w:numPr>
                <w:ilvl w:val="0"/>
                <w:numId w:val="6"/>
              </w:numPr>
              <w:spacing w:line="276" w:lineRule="auto"/>
              <w:ind w:left="276" w:hanging="270"/>
              <w:rPr>
                <w:sz w:val="22"/>
                <w:szCs w:val="22"/>
              </w:rPr>
            </w:pPr>
            <w:r w:rsidRPr="00DA3764">
              <w:rPr>
                <w:sz w:val="22"/>
                <w:szCs w:val="22"/>
              </w:rPr>
              <w:t xml:space="preserve">Dizziness/vertigo </w:t>
            </w:r>
          </w:p>
        </w:tc>
        <w:tc>
          <w:tcPr>
            <w:tcW w:w="1667" w:type="pct"/>
          </w:tcPr>
          <w:p w14:paraId="7814BC50" w14:textId="583C7F36" w:rsidR="001738E7" w:rsidRPr="00DA3764" w:rsidRDefault="001738E7" w:rsidP="0008256D">
            <w:pPr>
              <w:pStyle w:val="Default"/>
              <w:spacing w:line="276" w:lineRule="auto"/>
              <w:rPr>
                <w:sz w:val="22"/>
                <w:szCs w:val="22"/>
              </w:rPr>
            </w:pPr>
            <w:r w:rsidRPr="00DA3764">
              <w:rPr>
                <w:sz w:val="22"/>
                <w:szCs w:val="22"/>
              </w:rPr>
              <w:t xml:space="preserve">An assessment of </w:t>
            </w:r>
            <w:r w:rsidR="0048615D" w:rsidRPr="00DA3764">
              <w:rPr>
                <w:sz w:val="22"/>
                <w:szCs w:val="22"/>
              </w:rPr>
              <w:t>‘</w:t>
            </w:r>
            <w:r w:rsidRPr="00DA3764">
              <w:rPr>
                <w:sz w:val="22"/>
                <w:szCs w:val="22"/>
              </w:rPr>
              <w:t>signs of relapse present</w:t>
            </w:r>
            <w:r w:rsidR="0048615D" w:rsidRPr="00DA3764">
              <w:rPr>
                <w:sz w:val="22"/>
                <w:szCs w:val="22"/>
              </w:rPr>
              <w:t>’</w:t>
            </w:r>
            <w:r w:rsidRPr="00DA3764">
              <w:rPr>
                <w:sz w:val="22"/>
                <w:szCs w:val="22"/>
              </w:rPr>
              <w:t xml:space="preserve"> should be made for this category if there is an increase in the CTCAE grade from baseline for any of the following </w:t>
            </w:r>
          </w:p>
          <w:p w14:paraId="4E894E5C" w14:textId="48363788" w:rsidR="001738E7" w:rsidRPr="00DA3764" w:rsidRDefault="001738E7" w:rsidP="0008256D">
            <w:pPr>
              <w:pStyle w:val="Default"/>
              <w:numPr>
                <w:ilvl w:val="0"/>
                <w:numId w:val="11"/>
              </w:numPr>
              <w:spacing w:line="276" w:lineRule="auto"/>
              <w:ind w:left="219" w:hanging="180"/>
              <w:rPr>
                <w:sz w:val="22"/>
                <w:szCs w:val="22"/>
              </w:rPr>
            </w:pPr>
            <w:r w:rsidRPr="00DA3764">
              <w:rPr>
                <w:sz w:val="22"/>
                <w:szCs w:val="22"/>
              </w:rPr>
              <w:t xml:space="preserve">Malaise </w:t>
            </w:r>
          </w:p>
          <w:p w14:paraId="048FFEA9" w14:textId="24CC7AF1" w:rsidR="001738E7" w:rsidRPr="00DA3764" w:rsidRDefault="001738E7" w:rsidP="0008256D">
            <w:pPr>
              <w:pStyle w:val="Default"/>
              <w:numPr>
                <w:ilvl w:val="0"/>
                <w:numId w:val="11"/>
              </w:numPr>
              <w:spacing w:line="276" w:lineRule="auto"/>
              <w:ind w:left="219" w:hanging="180"/>
              <w:rPr>
                <w:sz w:val="22"/>
                <w:szCs w:val="22"/>
              </w:rPr>
            </w:pPr>
            <w:r w:rsidRPr="00DA3764">
              <w:rPr>
                <w:sz w:val="22"/>
                <w:szCs w:val="22"/>
              </w:rPr>
              <w:t xml:space="preserve">Myalgia </w:t>
            </w:r>
          </w:p>
          <w:p w14:paraId="232947B4" w14:textId="209D9978" w:rsidR="001738E7" w:rsidRPr="00DA3764" w:rsidRDefault="001738E7" w:rsidP="0008256D">
            <w:pPr>
              <w:pStyle w:val="Default"/>
              <w:numPr>
                <w:ilvl w:val="0"/>
                <w:numId w:val="11"/>
              </w:numPr>
              <w:spacing w:line="276" w:lineRule="auto"/>
              <w:ind w:left="219" w:hanging="180"/>
              <w:rPr>
                <w:sz w:val="22"/>
                <w:szCs w:val="22"/>
              </w:rPr>
            </w:pPr>
            <w:r w:rsidRPr="00DA3764">
              <w:rPr>
                <w:sz w:val="22"/>
                <w:szCs w:val="22"/>
              </w:rPr>
              <w:t xml:space="preserve">Headache </w:t>
            </w:r>
          </w:p>
          <w:p w14:paraId="4388FABB" w14:textId="60D264E3" w:rsidR="00AB304D" w:rsidRPr="00DA3764" w:rsidRDefault="001738E7" w:rsidP="0008256D">
            <w:pPr>
              <w:pStyle w:val="Default"/>
              <w:numPr>
                <w:ilvl w:val="0"/>
                <w:numId w:val="11"/>
              </w:numPr>
              <w:spacing w:line="276" w:lineRule="auto"/>
              <w:ind w:left="219" w:hanging="180"/>
              <w:rPr>
                <w:sz w:val="22"/>
                <w:szCs w:val="22"/>
              </w:rPr>
            </w:pPr>
            <w:r w:rsidRPr="00DA3764">
              <w:rPr>
                <w:sz w:val="22"/>
                <w:szCs w:val="22"/>
              </w:rPr>
              <w:t xml:space="preserve">Dizziness/vertigo </w:t>
            </w:r>
          </w:p>
        </w:tc>
      </w:tr>
      <w:tr w:rsidR="00AB304D" w:rsidRPr="00DA3764" w14:paraId="4883433D" w14:textId="77777777" w:rsidTr="00385D8D">
        <w:tc>
          <w:tcPr>
            <w:tcW w:w="1667" w:type="pct"/>
          </w:tcPr>
          <w:p w14:paraId="3519A32D" w14:textId="598DD6FB" w:rsidR="00AB304D" w:rsidRPr="00DA3764" w:rsidRDefault="006433C0" w:rsidP="0008256D">
            <w:pPr>
              <w:spacing w:line="276" w:lineRule="auto"/>
              <w:rPr>
                <w:rFonts w:ascii="Times New Roman" w:hAnsi="Times New Roman" w:cs="Times New Roman"/>
              </w:rPr>
            </w:pPr>
            <w:r w:rsidRPr="00DA3764">
              <w:rPr>
                <w:rFonts w:ascii="Times New Roman" w:hAnsi="Times New Roman" w:cs="Times New Roman"/>
              </w:rPr>
              <w:t xml:space="preserve">3. </w:t>
            </w:r>
            <w:r w:rsidR="00D80F30" w:rsidRPr="00DA3764">
              <w:rPr>
                <w:rFonts w:ascii="Times New Roman" w:hAnsi="Times New Roman" w:cs="Times New Roman"/>
              </w:rPr>
              <w:t>Elevated inflammation markers</w:t>
            </w:r>
          </w:p>
        </w:tc>
        <w:tc>
          <w:tcPr>
            <w:tcW w:w="1666" w:type="pct"/>
          </w:tcPr>
          <w:p w14:paraId="4CB71B89" w14:textId="2FE27593" w:rsidR="00D91CB0" w:rsidRPr="00DA3764" w:rsidRDefault="00D91CB0" w:rsidP="0008256D">
            <w:pPr>
              <w:pStyle w:val="Default"/>
              <w:spacing w:line="276" w:lineRule="auto"/>
              <w:rPr>
                <w:sz w:val="22"/>
                <w:szCs w:val="22"/>
              </w:rPr>
            </w:pPr>
            <w:r w:rsidRPr="00DA3764">
              <w:rPr>
                <w:sz w:val="22"/>
                <w:szCs w:val="22"/>
              </w:rPr>
              <w:t xml:space="preserve">An assessment of </w:t>
            </w:r>
            <w:r w:rsidR="0048615D" w:rsidRPr="00DA3764">
              <w:rPr>
                <w:sz w:val="22"/>
                <w:szCs w:val="22"/>
              </w:rPr>
              <w:t>‘</w:t>
            </w:r>
            <w:r w:rsidRPr="00DA3764">
              <w:rPr>
                <w:sz w:val="22"/>
                <w:szCs w:val="22"/>
              </w:rPr>
              <w:t>signs of relapse present</w:t>
            </w:r>
            <w:r w:rsidR="0048615D" w:rsidRPr="00DA3764">
              <w:rPr>
                <w:sz w:val="22"/>
                <w:szCs w:val="22"/>
              </w:rPr>
              <w:t>’</w:t>
            </w:r>
            <w:r w:rsidRPr="00DA3764">
              <w:rPr>
                <w:sz w:val="22"/>
                <w:szCs w:val="22"/>
              </w:rPr>
              <w:t xml:space="preserve"> should be made for this category if any of the following are observed </w:t>
            </w:r>
          </w:p>
          <w:p w14:paraId="27A827EB" w14:textId="1B11E6EB" w:rsidR="00D91CB0" w:rsidRPr="00DA3764" w:rsidRDefault="00D91CB0" w:rsidP="0008256D">
            <w:pPr>
              <w:pStyle w:val="Default"/>
              <w:numPr>
                <w:ilvl w:val="0"/>
                <w:numId w:val="7"/>
              </w:numPr>
              <w:spacing w:line="276" w:lineRule="auto"/>
              <w:ind w:left="276" w:hanging="270"/>
              <w:rPr>
                <w:sz w:val="22"/>
                <w:szCs w:val="22"/>
              </w:rPr>
            </w:pPr>
            <w:r w:rsidRPr="00DA3764">
              <w:rPr>
                <w:sz w:val="22"/>
                <w:szCs w:val="22"/>
              </w:rPr>
              <w:t>CRP ≥1.0 mg/</w:t>
            </w:r>
            <w:proofErr w:type="spellStart"/>
            <w:r w:rsidRPr="00DA3764">
              <w:rPr>
                <w:sz w:val="22"/>
                <w:szCs w:val="22"/>
              </w:rPr>
              <w:t>dL</w:t>
            </w:r>
            <w:proofErr w:type="spellEnd"/>
            <w:r w:rsidRPr="00DA3764">
              <w:rPr>
                <w:sz w:val="22"/>
                <w:szCs w:val="22"/>
              </w:rPr>
              <w:t xml:space="preserve"> and ESR ≥30 mm/h </w:t>
            </w:r>
          </w:p>
          <w:p w14:paraId="3395B81C" w14:textId="253BA048" w:rsidR="00AB304D" w:rsidRPr="00DA3764" w:rsidRDefault="00D91CB0" w:rsidP="00F220BD">
            <w:pPr>
              <w:pStyle w:val="Default"/>
              <w:numPr>
                <w:ilvl w:val="0"/>
                <w:numId w:val="7"/>
              </w:numPr>
              <w:spacing w:line="276" w:lineRule="auto"/>
              <w:ind w:left="276" w:hanging="270"/>
              <w:rPr>
                <w:sz w:val="22"/>
                <w:szCs w:val="22"/>
              </w:rPr>
            </w:pPr>
            <w:r w:rsidRPr="00DA3764">
              <w:rPr>
                <w:sz w:val="22"/>
                <w:szCs w:val="22"/>
              </w:rPr>
              <w:t xml:space="preserve">SAA ≥20 </w:t>
            </w:r>
            <w:proofErr w:type="spellStart"/>
            <w:r w:rsidRPr="00DA3764">
              <w:rPr>
                <w:sz w:val="22"/>
                <w:szCs w:val="22"/>
              </w:rPr>
              <w:t>μg</w:t>
            </w:r>
            <w:proofErr w:type="spellEnd"/>
            <w:r w:rsidRPr="00DA3764">
              <w:rPr>
                <w:sz w:val="22"/>
                <w:szCs w:val="22"/>
              </w:rPr>
              <w:t xml:space="preserve">/mL and ESR ≥30 mm/h </w:t>
            </w:r>
          </w:p>
        </w:tc>
        <w:tc>
          <w:tcPr>
            <w:tcW w:w="1667" w:type="pct"/>
          </w:tcPr>
          <w:p w14:paraId="760156CA" w14:textId="6C3D0AAE" w:rsidR="001738E7" w:rsidRPr="00DA3764" w:rsidRDefault="001738E7" w:rsidP="00285CBC">
            <w:pPr>
              <w:pStyle w:val="Default"/>
              <w:spacing w:line="276" w:lineRule="auto"/>
              <w:rPr>
                <w:sz w:val="22"/>
                <w:szCs w:val="22"/>
              </w:rPr>
            </w:pPr>
            <w:r w:rsidRPr="00DA3764">
              <w:rPr>
                <w:sz w:val="22"/>
                <w:szCs w:val="22"/>
              </w:rPr>
              <w:t xml:space="preserve">An assessment of </w:t>
            </w:r>
            <w:r w:rsidR="0048615D" w:rsidRPr="00DA3764">
              <w:rPr>
                <w:sz w:val="22"/>
                <w:szCs w:val="22"/>
              </w:rPr>
              <w:t>‘</w:t>
            </w:r>
            <w:r w:rsidRPr="00DA3764">
              <w:rPr>
                <w:sz w:val="22"/>
                <w:szCs w:val="22"/>
              </w:rPr>
              <w:t>signs of relapse present</w:t>
            </w:r>
            <w:r w:rsidR="0048615D" w:rsidRPr="00DA3764">
              <w:rPr>
                <w:sz w:val="22"/>
                <w:szCs w:val="22"/>
              </w:rPr>
              <w:t>’</w:t>
            </w:r>
            <w:r w:rsidRPr="00DA3764">
              <w:rPr>
                <w:sz w:val="22"/>
                <w:szCs w:val="22"/>
              </w:rPr>
              <w:t xml:space="preserve"> should be made for this category if any of the following are observed </w:t>
            </w:r>
          </w:p>
          <w:p w14:paraId="2C6B756D" w14:textId="5A8A4E4C" w:rsidR="001738E7" w:rsidRPr="00DA3764" w:rsidRDefault="001738E7" w:rsidP="00285CBC">
            <w:pPr>
              <w:pStyle w:val="Default"/>
              <w:numPr>
                <w:ilvl w:val="0"/>
                <w:numId w:val="12"/>
              </w:numPr>
              <w:spacing w:line="276" w:lineRule="auto"/>
              <w:ind w:left="219" w:hanging="180"/>
              <w:rPr>
                <w:sz w:val="22"/>
                <w:szCs w:val="22"/>
              </w:rPr>
            </w:pPr>
            <w:r w:rsidRPr="00DA3764">
              <w:rPr>
                <w:sz w:val="22"/>
                <w:szCs w:val="22"/>
              </w:rPr>
              <w:t>CRP ≥1.0 mg/</w:t>
            </w:r>
            <w:proofErr w:type="spellStart"/>
            <w:r w:rsidRPr="00DA3764">
              <w:rPr>
                <w:sz w:val="22"/>
                <w:szCs w:val="22"/>
              </w:rPr>
              <w:t>dL</w:t>
            </w:r>
            <w:proofErr w:type="spellEnd"/>
            <w:r w:rsidRPr="00DA3764">
              <w:rPr>
                <w:sz w:val="22"/>
                <w:szCs w:val="22"/>
              </w:rPr>
              <w:t xml:space="preserve"> and ESR ≥30 mm/h </w:t>
            </w:r>
          </w:p>
          <w:p w14:paraId="31849BC2" w14:textId="6857E0E3" w:rsidR="001738E7" w:rsidRPr="00DA3764" w:rsidRDefault="001738E7" w:rsidP="00285CBC">
            <w:pPr>
              <w:pStyle w:val="Default"/>
              <w:numPr>
                <w:ilvl w:val="0"/>
                <w:numId w:val="12"/>
              </w:numPr>
              <w:spacing w:line="276" w:lineRule="auto"/>
              <w:ind w:left="219" w:hanging="180"/>
              <w:rPr>
                <w:sz w:val="22"/>
                <w:szCs w:val="22"/>
              </w:rPr>
            </w:pPr>
            <w:r w:rsidRPr="00DA3764">
              <w:rPr>
                <w:sz w:val="22"/>
                <w:szCs w:val="22"/>
              </w:rPr>
              <w:t xml:space="preserve">SAA ≥20 </w:t>
            </w:r>
            <w:proofErr w:type="spellStart"/>
            <w:r w:rsidRPr="00DA3764">
              <w:rPr>
                <w:sz w:val="22"/>
                <w:szCs w:val="22"/>
              </w:rPr>
              <w:t>μg</w:t>
            </w:r>
            <w:proofErr w:type="spellEnd"/>
            <w:r w:rsidRPr="00DA3764">
              <w:rPr>
                <w:sz w:val="22"/>
                <w:szCs w:val="22"/>
              </w:rPr>
              <w:t xml:space="preserve">/mL and ESR ≥30 mm/h </w:t>
            </w:r>
          </w:p>
          <w:p w14:paraId="11C4DDF2" w14:textId="1D4171C8" w:rsidR="00AB304D" w:rsidRPr="00DA3764" w:rsidRDefault="001738E7" w:rsidP="00285CBC">
            <w:pPr>
              <w:pStyle w:val="Default"/>
              <w:numPr>
                <w:ilvl w:val="0"/>
                <w:numId w:val="12"/>
              </w:numPr>
              <w:spacing w:line="276" w:lineRule="auto"/>
              <w:ind w:left="219" w:hanging="180"/>
              <w:rPr>
                <w:sz w:val="22"/>
                <w:szCs w:val="22"/>
              </w:rPr>
            </w:pPr>
            <w:r w:rsidRPr="00DA3764">
              <w:rPr>
                <w:sz w:val="22"/>
                <w:szCs w:val="22"/>
              </w:rPr>
              <w:t>WBC ≥10,000/</w:t>
            </w:r>
            <w:proofErr w:type="spellStart"/>
            <w:r w:rsidRPr="00DA3764">
              <w:rPr>
                <w:sz w:val="22"/>
                <w:szCs w:val="22"/>
              </w:rPr>
              <w:t>μL</w:t>
            </w:r>
            <w:proofErr w:type="spellEnd"/>
            <w:r w:rsidRPr="00DA3764">
              <w:rPr>
                <w:sz w:val="22"/>
                <w:szCs w:val="22"/>
              </w:rPr>
              <w:t xml:space="preserve"> and has increased by a factor of 1.3 since baseline </w:t>
            </w:r>
          </w:p>
        </w:tc>
      </w:tr>
      <w:tr w:rsidR="00AB304D" w:rsidRPr="00DA3764" w14:paraId="3CC6F43B" w14:textId="77777777" w:rsidTr="00385D8D">
        <w:tc>
          <w:tcPr>
            <w:tcW w:w="1667" w:type="pct"/>
          </w:tcPr>
          <w:p w14:paraId="6EB74915" w14:textId="12BADDFB" w:rsidR="00AB304D" w:rsidRPr="00DA3764" w:rsidRDefault="006433C0" w:rsidP="00285CBC">
            <w:pPr>
              <w:spacing w:line="276" w:lineRule="auto"/>
              <w:rPr>
                <w:rFonts w:ascii="Times New Roman" w:hAnsi="Times New Roman" w:cs="Times New Roman"/>
              </w:rPr>
            </w:pPr>
            <w:r w:rsidRPr="00DA3764">
              <w:rPr>
                <w:rFonts w:ascii="Times New Roman" w:hAnsi="Times New Roman" w:cs="Times New Roman"/>
              </w:rPr>
              <w:lastRenderedPageBreak/>
              <w:t xml:space="preserve">4. </w:t>
            </w:r>
            <w:r w:rsidR="00D80F30" w:rsidRPr="00DA3764">
              <w:rPr>
                <w:rFonts w:ascii="Times New Roman" w:hAnsi="Times New Roman" w:cs="Times New Roman"/>
              </w:rPr>
              <w:t>Vascular</w:t>
            </w:r>
            <w:r w:rsidR="00CE7E66" w:rsidRPr="00DA3764">
              <w:rPr>
                <w:rFonts w:ascii="Times New Roman" w:hAnsi="Times New Roman" w:cs="Times New Roman"/>
              </w:rPr>
              <w:t xml:space="preserve"> signs and symptoms</w:t>
            </w:r>
          </w:p>
        </w:tc>
        <w:tc>
          <w:tcPr>
            <w:tcW w:w="1666" w:type="pct"/>
          </w:tcPr>
          <w:p w14:paraId="4979CC9E" w14:textId="078A9F8A" w:rsidR="00D91CB0" w:rsidRPr="00DA3764" w:rsidRDefault="00D91CB0" w:rsidP="00285CBC">
            <w:pPr>
              <w:pStyle w:val="Default"/>
              <w:spacing w:line="276" w:lineRule="auto"/>
              <w:rPr>
                <w:sz w:val="22"/>
                <w:szCs w:val="22"/>
              </w:rPr>
            </w:pPr>
            <w:r w:rsidRPr="00DA3764">
              <w:rPr>
                <w:sz w:val="22"/>
                <w:szCs w:val="22"/>
              </w:rPr>
              <w:t xml:space="preserve">An assessment of </w:t>
            </w:r>
            <w:r w:rsidR="0048615D" w:rsidRPr="00DA3764">
              <w:rPr>
                <w:sz w:val="22"/>
                <w:szCs w:val="22"/>
              </w:rPr>
              <w:t>‘</w:t>
            </w:r>
            <w:r w:rsidRPr="00DA3764">
              <w:rPr>
                <w:sz w:val="22"/>
                <w:szCs w:val="22"/>
              </w:rPr>
              <w:t>signs of relapse present</w:t>
            </w:r>
            <w:r w:rsidR="0048615D" w:rsidRPr="00DA3764">
              <w:rPr>
                <w:sz w:val="22"/>
                <w:szCs w:val="22"/>
              </w:rPr>
              <w:t>’</w:t>
            </w:r>
            <w:r w:rsidRPr="00DA3764">
              <w:rPr>
                <w:sz w:val="22"/>
                <w:szCs w:val="22"/>
              </w:rPr>
              <w:t xml:space="preserve"> should be made for this category if any of the following are observed </w:t>
            </w:r>
          </w:p>
          <w:p w14:paraId="359C1612" w14:textId="4B36D92E" w:rsidR="00D91CB0" w:rsidRPr="00DA3764" w:rsidRDefault="00D91CB0" w:rsidP="00285CBC">
            <w:pPr>
              <w:pStyle w:val="Default"/>
              <w:numPr>
                <w:ilvl w:val="0"/>
                <w:numId w:val="8"/>
              </w:numPr>
              <w:spacing w:line="276" w:lineRule="auto"/>
              <w:ind w:left="276" w:hanging="270"/>
              <w:rPr>
                <w:sz w:val="22"/>
                <w:szCs w:val="22"/>
              </w:rPr>
            </w:pPr>
            <w:proofErr w:type="spellStart"/>
            <w:r w:rsidRPr="00DA3764">
              <w:rPr>
                <w:sz w:val="22"/>
                <w:szCs w:val="22"/>
              </w:rPr>
              <w:t>Renovascular</w:t>
            </w:r>
            <w:proofErr w:type="spellEnd"/>
            <w:r w:rsidRPr="00DA3764">
              <w:rPr>
                <w:sz w:val="22"/>
                <w:szCs w:val="22"/>
              </w:rPr>
              <w:t xml:space="preserve"> hypertension </w:t>
            </w:r>
          </w:p>
          <w:p w14:paraId="40078D87" w14:textId="606C0AAA" w:rsidR="00D91CB0" w:rsidRPr="00DA3764" w:rsidRDefault="00D91CB0" w:rsidP="00285CBC">
            <w:pPr>
              <w:pStyle w:val="Default"/>
              <w:numPr>
                <w:ilvl w:val="1"/>
                <w:numId w:val="8"/>
              </w:numPr>
              <w:spacing w:line="276" w:lineRule="auto"/>
              <w:ind w:left="546" w:hanging="270"/>
              <w:rPr>
                <w:sz w:val="22"/>
                <w:szCs w:val="22"/>
              </w:rPr>
            </w:pPr>
            <w:r w:rsidRPr="00DA3764">
              <w:rPr>
                <w:sz w:val="22"/>
                <w:szCs w:val="22"/>
              </w:rPr>
              <w:t xml:space="preserve">Normal blood pressure </w:t>
            </w:r>
            <w:r w:rsidR="00FC3825" w:rsidRPr="00DA3764">
              <w:rPr>
                <w:sz w:val="22"/>
                <w:szCs w:val="22"/>
              </w:rPr>
              <w:t>&lt;</w:t>
            </w:r>
            <w:r w:rsidRPr="00DA3764">
              <w:rPr>
                <w:sz w:val="22"/>
                <w:szCs w:val="22"/>
              </w:rPr>
              <w:t xml:space="preserve">120/80 mm Hg: </w:t>
            </w:r>
            <w:r w:rsidR="00FC3825" w:rsidRPr="00DA3764">
              <w:rPr>
                <w:sz w:val="22"/>
                <w:szCs w:val="22"/>
              </w:rPr>
              <w:t xml:space="preserve">has </w:t>
            </w:r>
            <w:r w:rsidRPr="00DA3764">
              <w:rPr>
                <w:sz w:val="22"/>
                <w:szCs w:val="22"/>
              </w:rPr>
              <w:t xml:space="preserve">risen to 140/90 mm Hg or higher </w:t>
            </w:r>
          </w:p>
          <w:p w14:paraId="7CCD377A" w14:textId="6D4E39A8" w:rsidR="00D91CB0" w:rsidRPr="00DA3764" w:rsidRDefault="00D91CB0" w:rsidP="00285CBC">
            <w:pPr>
              <w:pStyle w:val="Default"/>
              <w:numPr>
                <w:ilvl w:val="1"/>
                <w:numId w:val="8"/>
              </w:numPr>
              <w:spacing w:line="276" w:lineRule="auto"/>
              <w:ind w:left="546" w:hanging="270"/>
              <w:rPr>
                <w:sz w:val="22"/>
                <w:szCs w:val="22"/>
              </w:rPr>
            </w:pPr>
            <w:r w:rsidRPr="00DA3764">
              <w:rPr>
                <w:sz w:val="22"/>
                <w:szCs w:val="22"/>
              </w:rPr>
              <w:t xml:space="preserve">Normal blood pressure </w:t>
            </w:r>
            <w:r w:rsidR="00FC3825" w:rsidRPr="00DA3764">
              <w:rPr>
                <w:sz w:val="22"/>
                <w:szCs w:val="22"/>
              </w:rPr>
              <w:t>≥</w:t>
            </w:r>
            <w:r w:rsidRPr="00DA3764">
              <w:rPr>
                <w:sz w:val="22"/>
                <w:szCs w:val="22"/>
              </w:rPr>
              <w:t xml:space="preserve">120/80 mm Hg: </w:t>
            </w:r>
            <w:r w:rsidR="00FC3825" w:rsidRPr="00DA3764">
              <w:rPr>
                <w:sz w:val="22"/>
                <w:szCs w:val="22"/>
              </w:rPr>
              <w:t xml:space="preserve">diastolic </w:t>
            </w:r>
            <w:r w:rsidRPr="00DA3764">
              <w:rPr>
                <w:sz w:val="22"/>
                <w:szCs w:val="22"/>
              </w:rPr>
              <w:t xml:space="preserve">blood pressure has risen by </w:t>
            </w:r>
            <w:r w:rsidR="00FC3825" w:rsidRPr="00DA3764">
              <w:rPr>
                <w:sz w:val="22"/>
                <w:szCs w:val="22"/>
              </w:rPr>
              <w:t>≥</w:t>
            </w:r>
            <w:r w:rsidRPr="00DA3764">
              <w:rPr>
                <w:sz w:val="22"/>
                <w:szCs w:val="22"/>
              </w:rPr>
              <w:t xml:space="preserve">20 mm Hg </w:t>
            </w:r>
          </w:p>
          <w:p w14:paraId="67D62F71" w14:textId="52D8991E" w:rsidR="00D91CB0" w:rsidRPr="00DA3764" w:rsidRDefault="00D91CB0" w:rsidP="00285CBC">
            <w:pPr>
              <w:pStyle w:val="Default"/>
              <w:numPr>
                <w:ilvl w:val="0"/>
                <w:numId w:val="8"/>
              </w:numPr>
              <w:spacing w:line="276" w:lineRule="auto"/>
              <w:ind w:left="276" w:hanging="270"/>
              <w:rPr>
                <w:sz w:val="22"/>
                <w:szCs w:val="22"/>
              </w:rPr>
            </w:pPr>
            <w:r w:rsidRPr="00DA3764">
              <w:rPr>
                <w:sz w:val="22"/>
                <w:szCs w:val="22"/>
              </w:rPr>
              <w:t xml:space="preserve">New vascular bruits (carotid artery, subclavian artery, renal artery) </w:t>
            </w:r>
          </w:p>
          <w:p w14:paraId="1EE6E017" w14:textId="21852693" w:rsidR="00D91CB0" w:rsidRPr="00DA3764" w:rsidRDefault="00D91CB0" w:rsidP="00285CBC">
            <w:pPr>
              <w:pStyle w:val="Default"/>
              <w:numPr>
                <w:ilvl w:val="0"/>
                <w:numId w:val="8"/>
              </w:numPr>
              <w:spacing w:line="276" w:lineRule="auto"/>
              <w:ind w:left="276" w:hanging="270"/>
              <w:rPr>
                <w:sz w:val="22"/>
                <w:szCs w:val="22"/>
              </w:rPr>
            </w:pPr>
            <w:r w:rsidRPr="00DA3764">
              <w:rPr>
                <w:sz w:val="22"/>
                <w:szCs w:val="22"/>
              </w:rPr>
              <w:t xml:space="preserve">New loss of pulse (carotid artery, subclavian artery, brachial artery, radial artery, femoral artery, popliteal artery, posterior </w:t>
            </w:r>
            <w:proofErr w:type="spellStart"/>
            <w:r w:rsidRPr="00DA3764">
              <w:rPr>
                <w:sz w:val="22"/>
                <w:szCs w:val="22"/>
              </w:rPr>
              <w:t>tibial</w:t>
            </w:r>
            <w:proofErr w:type="spellEnd"/>
            <w:r w:rsidRPr="00DA3764">
              <w:rPr>
                <w:sz w:val="22"/>
                <w:szCs w:val="22"/>
              </w:rPr>
              <w:t xml:space="preserve"> artery, dorsalis </w:t>
            </w:r>
            <w:proofErr w:type="spellStart"/>
            <w:r w:rsidRPr="00DA3764">
              <w:rPr>
                <w:sz w:val="22"/>
                <w:szCs w:val="22"/>
              </w:rPr>
              <w:t>pedis</w:t>
            </w:r>
            <w:proofErr w:type="spellEnd"/>
            <w:r w:rsidRPr="00DA3764">
              <w:rPr>
                <w:sz w:val="22"/>
                <w:szCs w:val="22"/>
              </w:rPr>
              <w:t xml:space="preserve"> artery) </w:t>
            </w:r>
          </w:p>
          <w:p w14:paraId="1A2F8443" w14:textId="08C9029D" w:rsidR="00D91CB0" w:rsidRPr="00DA3764" w:rsidRDefault="00D91CB0" w:rsidP="00285CBC">
            <w:pPr>
              <w:pStyle w:val="Default"/>
              <w:numPr>
                <w:ilvl w:val="0"/>
                <w:numId w:val="8"/>
              </w:numPr>
              <w:spacing w:line="276" w:lineRule="auto"/>
              <w:ind w:left="276" w:hanging="270"/>
              <w:rPr>
                <w:sz w:val="22"/>
                <w:szCs w:val="22"/>
              </w:rPr>
            </w:pPr>
            <w:r w:rsidRPr="00DA3764">
              <w:rPr>
                <w:sz w:val="22"/>
                <w:szCs w:val="22"/>
              </w:rPr>
              <w:t xml:space="preserve">New difference in blood pressure between left and right: </w:t>
            </w:r>
            <w:r w:rsidR="00FC3825" w:rsidRPr="00DA3764">
              <w:rPr>
                <w:sz w:val="22"/>
                <w:szCs w:val="22"/>
              </w:rPr>
              <w:t xml:space="preserve">new </w:t>
            </w:r>
            <w:r w:rsidRPr="00DA3764">
              <w:rPr>
                <w:sz w:val="22"/>
                <w:szCs w:val="22"/>
              </w:rPr>
              <w:t xml:space="preserve">difference in systolic blood pressure between left and right </w:t>
            </w:r>
            <w:r w:rsidR="00FC3825" w:rsidRPr="00DA3764">
              <w:rPr>
                <w:sz w:val="22"/>
                <w:szCs w:val="22"/>
              </w:rPr>
              <w:t>≥</w:t>
            </w:r>
            <w:r w:rsidRPr="00DA3764">
              <w:rPr>
                <w:sz w:val="22"/>
                <w:szCs w:val="22"/>
              </w:rPr>
              <w:t xml:space="preserve">10 mm Hg </w:t>
            </w:r>
          </w:p>
          <w:p w14:paraId="2BF1B0C5" w14:textId="346BDCDB" w:rsidR="00D91CB0" w:rsidRPr="00DA3764" w:rsidRDefault="00D91CB0" w:rsidP="00285CBC">
            <w:pPr>
              <w:pStyle w:val="Default"/>
              <w:numPr>
                <w:ilvl w:val="0"/>
                <w:numId w:val="8"/>
              </w:numPr>
              <w:spacing w:line="276" w:lineRule="auto"/>
              <w:ind w:left="276" w:hanging="270"/>
              <w:rPr>
                <w:sz w:val="22"/>
                <w:szCs w:val="22"/>
              </w:rPr>
            </w:pPr>
            <w:r w:rsidRPr="00DA3764">
              <w:rPr>
                <w:sz w:val="22"/>
                <w:szCs w:val="22"/>
              </w:rPr>
              <w:t xml:space="preserve">Tenderness or spontaneous pain in carotid artery: </w:t>
            </w:r>
            <w:r w:rsidR="00FC3825" w:rsidRPr="00DA3764">
              <w:rPr>
                <w:sz w:val="22"/>
                <w:szCs w:val="22"/>
              </w:rPr>
              <w:t xml:space="preserve">symptoms </w:t>
            </w:r>
            <w:r w:rsidRPr="00DA3764">
              <w:rPr>
                <w:sz w:val="22"/>
                <w:szCs w:val="22"/>
              </w:rPr>
              <w:t xml:space="preserve">of CTCAE </w:t>
            </w:r>
            <w:r w:rsidR="00FC3825" w:rsidRPr="00DA3764">
              <w:rPr>
                <w:sz w:val="22"/>
                <w:szCs w:val="22"/>
              </w:rPr>
              <w:t xml:space="preserve">grade </w:t>
            </w:r>
            <w:r w:rsidRPr="00DA3764">
              <w:rPr>
                <w:sz w:val="22"/>
                <w:szCs w:val="22"/>
              </w:rPr>
              <w:t xml:space="preserve">2 or higher </w:t>
            </w:r>
          </w:p>
          <w:p w14:paraId="72173268" w14:textId="2CD7F45B" w:rsidR="00D91CB0" w:rsidRPr="00DA3764" w:rsidRDefault="00D91CB0" w:rsidP="00285CBC">
            <w:pPr>
              <w:pStyle w:val="Default"/>
              <w:numPr>
                <w:ilvl w:val="0"/>
                <w:numId w:val="8"/>
              </w:numPr>
              <w:spacing w:line="276" w:lineRule="auto"/>
              <w:ind w:left="276" w:hanging="270"/>
              <w:rPr>
                <w:sz w:val="22"/>
                <w:szCs w:val="22"/>
              </w:rPr>
            </w:pPr>
            <w:r w:rsidRPr="00DA3764">
              <w:rPr>
                <w:sz w:val="22"/>
                <w:szCs w:val="22"/>
              </w:rPr>
              <w:t xml:space="preserve">Spontaneous pain in chest region or back region: </w:t>
            </w:r>
            <w:r w:rsidR="00FC3825" w:rsidRPr="00DA3764">
              <w:rPr>
                <w:sz w:val="22"/>
                <w:szCs w:val="22"/>
              </w:rPr>
              <w:t xml:space="preserve">symptoms </w:t>
            </w:r>
            <w:r w:rsidRPr="00DA3764">
              <w:rPr>
                <w:sz w:val="22"/>
                <w:szCs w:val="22"/>
              </w:rPr>
              <w:t xml:space="preserve">of CTCAE </w:t>
            </w:r>
            <w:r w:rsidR="00FC3825" w:rsidRPr="00DA3764">
              <w:rPr>
                <w:sz w:val="22"/>
                <w:szCs w:val="22"/>
              </w:rPr>
              <w:t xml:space="preserve">grade </w:t>
            </w:r>
            <w:r w:rsidRPr="00DA3764">
              <w:rPr>
                <w:sz w:val="22"/>
                <w:szCs w:val="22"/>
              </w:rPr>
              <w:t xml:space="preserve">2 or higher </w:t>
            </w:r>
          </w:p>
          <w:p w14:paraId="087BA73D" w14:textId="40B0602B" w:rsidR="00AB304D" w:rsidRPr="00DA3764" w:rsidRDefault="00D91CB0" w:rsidP="00285CBC">
            <w:pPr>
              <w:pStyle w:val="Default"/>
              <w:numPr>
                <w:ilvl w:val="0"/>
                <w:numId w:val="8"/>
              </w:numPr>
              <w:spacing w:line="276" w:lineRule="auto"/>
              <w:ind w:left="276" w:hanging="270"/>
              <w:rPr>
                <w:sz w:val="22"/>
                <w:szCs w:val="22"/>
              </w:rPr>
            </w:pPr>
            <w:r w:rsidRPr="00DA3764">
              <w:rPr>
                <w:sz w:val="22"/>
                <w:szCs w:val="22"/>
              </w:rPr>
              <w:t xml:space="preserve">Onset of aortic valve incompetence (moderate or severe) </w:t>
            </w:r>
          </w:p>
        </w:tc>
        <w:tc>
          <w:tcPr>
            <w:tcW w:w="1667" w:type="pct"/>
          </w:tcPr>
          <w:p w14:paraId="63E77BCA" w14:textId="2275F2DD" w:rsidR="006433C0" w:rsidRPr="00DA3764" w:rsidRDefault="006433C0" w:rsidP="00285CBC">
            <w:pPr>
              <w:pStyle w:val="Default"/>
              <w:spacing w:line="276" w:lineRule="auto"/>
              <w:rPr>
                <w:sz w:val="22"/>
                <w:szCs w:val="22"/>
              </w:rPr>
            </w:pPr>
            <w:r w:rsidRPr="00DA3764">
              <w:rPr>
                <w:sz w:val="22"/>
                <w:szCs w:val="22"/>
              </w:rPr>
              <w:t xml:space="preserve">An assessment of </w:t>
            </w:r>
            <w:r w:rsidR="0048615D" w:rsidRPr="00DA3764">
              <w:rPr>
                <w:sz w:val="22"/>
                <w:szCs w:val="22"/>
              </w:rPr>
              <w:t>‘</w:t>
            </w:r>
            <w:r w:rsidRPr="00DA3764">
              <w:rPr>
                <w:sz w:val="22"/>
                <w:szCs w:val="22"/>
              </w:rPr>
              <w:t>signs of relapse present</w:t>
            </w:r>
            <w:r w:rsidR="0048615D" w:rsidRPr="00DA3764">
              <w:rPr>
                <w:sz w:val="22"/>
                <w:szCs w:val="22"/>
              </w:rPr>
              <w:t>’</w:t>
            </w:r>
            <w:r w:rsidRPr="00DA3764">
              <w:rPr>
                <w:sz w:val="22"/>
                <w:szCs w:val="22"/>
              </w:rPr>
              <w:t xml:space="preserve"> should be made for this category if any of the following are observed. If severe aortic valve incompetence accompanied by symptoms of cardiac failure occurs, it should be deemed that relapse of </w:t>
            </w:r>
            <w:proofErr w:type="spellStart"/>
            <w:r w:rsidRPr="00DA3764">
              <w:rPr>
                <w:sz w:val="22"/>
                <w:szCs w:val="22"/>
              </w:rPr>
              <w:t>Takayasu</w:t>
            </w:r>
            <w:proofErr w:type="spellEnd"/>
            <w:r w:rsidRPr="00DA3764">
              <w:rPr>
                <w:sz w:val="22"/>
                <w:szCs w:val="22"/>
              </w:rPr>
              <w:t xml:space="preserve"> arteritis has occurred, even if none of the criteria for categories 1</w:t>
            </w:r>
            <w:r w:rsidR="00FC3825" w:rsidRPr="00DA3764">
              <w:rPr>
                <w:sz w:val="22"/>
                <w:szCs w:val="22"/>
              </w:rPr>
              <w:t>-</w:t>
            </w:r>
            <w:r w:rsidRPr="00DA3764">
              <w:rPr>
                <w:sz w:val="22"/>
                <w:szCs w:val="22"/>
              </w:rPr>
              <w:t xml:space="preserve">3 or 5 are met </w:t>
            </w:r>
          </w:p>
          <w:p w14:paraId="4284D74A" w14:textId="6400BDBA" w:rsidR="006433C0" w:rsidRPr="00DA3764" w:rsidRDefault="006433C0" w:rsidP="00285CBC">
            <w:pPr>
              <w:pStyle w:val="Default"/>
              <w:numPr>
                <w:ilvl w:val="0"/>
                <w:numId w:val="13"/>
              </w:numPr>
              <w:spacing w:line="276" w:lineRule="auto"/>
              <w:ind w:left="219" w:hanging="180"/>
              <w:rPr>
                <w:sz w:val="22"/>
                <w:szCs w:val="22"/>
              </w:rPr>
            </w:pPr>
            <w:proofErr w:type="spellStart"/>
            <w:r w:rsidRPr="00DA3764">
              <w:rPr>
                <w:sz w:val="22"/>
                <w:szCs w:val="22"/>
              </w:rPr>
              <w:t>Renovascular</w:t>
            </w:r>
            <w:proofErr w:type="spellEnd"/>
            <w:r w:rsidRPr="00DA3764">
              <w:rPr>
                <w:sz w:val="22"/>
                <w:szCs w:val="22"/>
              </w:rPr>
              <w:t xml:space="preserve"> hypertension </w:t>
            </w:r>
          </w:p>
          <w:p w14:paraId="35299966" w14:textId="562C46E8" w:rsidR="006433C0" w:rsidRPr="00DA3764" w:rsidRDefault="00FC3825" w:rsidP="00285CBC">
            <w:pPr>
              <w:pStyle w:val="Default"/>
              <w:numPr>
                <w:ilvl w:val="1"/>
                <w:numId w:val="13"/>
              </w:numPr>
              <w:spacing w:line="276" w:lineRule="auto"/>
              <w:ind w:left="489" w:hanging="180"/>
              <w:rPr>
                <w:sz w:val="22"/>
                <w:szCs w:val="22"/>
              </w:rPr>
            </w:pPr>
            <w:r w:rsidRPr="00DA3764">
              <w:rPr>
                <w:sz w:val="22"/>
                <w:szCs w:val="22"/>
              </w:rPr>
              <w:t>&lt;</w:t>
            </w:r>
            <w:r w:rsidR="006433C0" w:rsidRPr="00DA3764">
              <w:rPr>
                <w:sz w:val="22"/>
                <w:szCs w:val="22"/>
              </w:rPr>
              <w:t xml:space="preserve">120/80 mm Hg at baseline: </w:t>
            </w:r>
            <w:r w:rsidRPr="00DA3764">
              <w:rPr>
                <w:sz w:val="22"/>
                <w:szCs w:val="22"/>
              </w:rPr>
              <w:t xml:space="preserve">has </w:t>
            </w:r>
            <w:r w:rsidR="006433C0" w:rsidRPr="00DA3764">
              <w:rPr>
                <w:sz w:val="22"/>
                <w:szCs w:val="22"/>
              </w:rPr>
              <w:t xml:space="preserve">risen to </w:t>
            </w:r>
            <w:r w:rsidRPr="00DA3764">
              <w:rPr>
                <w:sz w:val="22"/>
                <w:szCs w:val="22"/>
              </w:rPr>
              <w:t>≥</w:t>
            </w:r>
            <w:r w:rsidR="006433C0" w:rsidRPr="00DA3764">
              <w:rPr>
                <w:sz w:val="22"/>
                <w:szCs w:val="22"/>
              </w:rPr>
              <w:t xml:space="preserve">140/90 mm Hg </w:t>
            </w:r>
          </w:p>
          <w:p w14:paraId="17EEB367" w14:textId="153B423F" w:rsidR="006433C0" w:rsidRPr="00DA3764" w:rsidRDefault="00FC3825" w:rsidP="00285CBC">
            <w:pPr>
              <w:pStyle w:val="Default"/>
              <w:numPr>
                <w:ilvl w:val="1"/>
                <w:numId w:val="13"/>
              </w:numPr>
              <w:spacing w:line="276" w:lineRule="auto"/>
              <w:ind w:left="489" w:hanging="180"/>
              <w:rPr>
                <w:sz w:val="22"/>
                <w:szCs w:val="22"/>
              </w:rPr>
            </w:pPr>
            <w:r w:rsidRPr="00DA3764">
              <w:rPr>
                <w:sz w:val="22"/>
                <w:szCs w:val="22"/>
              </w:rPr>
              <w:t>≥</w:t>
            </w:r>
            <w:r w:rsidR="006433C0" w:rsidRPr="00DA3764">
              <w:rPr>
                <w:sz w:val="22"/>
                <w:szCs w:val="22"/>
              </w:rPr>
              <w:t xml:space="preserve">120/80 mm Hg at baseline: </w:t>
            </w:r>
            <w:r w:rsidRPr="00DA3764">
              <w:rPr>
                <w:sz w:val="22"/>
                <w:szCs w:val="22"/>
              </w:rPr>
              <w:t xml:space="preserve">diastolic </w:t>
            </w:r>
            <w:r w:rsidR="006433C0" w:rsidRPr="00DA3764">
              <w:rPr>
                <w:sz w:val="22"/>
                <w:szCs w:val="22"/>
              </w:rPr>
              <w:t xml:space="preserve">blood pressure has risen by </w:t>
            </w:r>
            <w:r w:rsidRPr="00DA3764">
              <w:rPr>
                <w:sz w:val="22"/>
                <w:szCs w:val="22"/>
              </w:rPr>
              <w:t>≥</w:t>
            </w:r>
            <w:r w:rsidR="006433C0" w:rsidRPr="00DA3764">
              <w:rPr>
                <w:sz w:val="22"/>
                <w:szCs w:val="22"/>
              </w:rPr>
              <w:t xml:space="preserve">20 mm Hg </w:t>
            </w:r>
          </w:p>
          <w:p w14:paraId="3B6525A0" w14:textId="1AC841CC" w:rsidR="006433C0" w:rsidRPr="00DA3764" w:rsidRDefault="006433C0" w:rsidP="00285CBC">
            <w:pPr>
              <w:pStyle w:val="Default"/>
              <w:numPr>
                <w:ilvl w:val="0"/>
                <w:numId w:val="13"/>
              </w:numPr>
              <w:spacing w:line="276" w:lineRule="auto"/>
              <w:ind w:left="219" w:hanging="180"/>
              <w:rPr>
                <w:sz w:val="22"/>
                <w:szCs w:val="22"/>
              </w:rPr>
            </w:pPr>
            <w:r w:rsidRPr="00DA3764">
              <w:rPr>
                <w:sz w:val="22"/>
                <w:szCs w:val="22"/>
              </w:rPr>
              <w:t xml:space="preserve">New vascular bruits (carotid artery, subclavian artery, renal artery) </w:t>
            </w:r>
          </w:p>
          <w:p w14:paraId="32612F3C" w14:textId="46A74B44" w:rsidR="006433C0" w:rsidRPr="00DA3764" w:rsidRDefault="006433C0" w:rsidP="00285CBC">
            <w:pPr>
              <w:pStyle w:val="Default"/>
              <w:numPr>
                <w:ilvl w:val="0"/>
                <w:numId w:val="13"/>
              </w:numPr>
              <w:spacing w:line="276" w:lineRule="auto"/>
              <w:ind w:left="219" w:hanging="180"/>
              <w:rPr>
                <w:sz w:val="22"/>
                <w:szCs w:val="22"/>
              </w:rPr>
            </w:pPr>
            <w:r w:rsidRPr="00DA3764">
              <w:rPr>
                <w:sz w:val="22"/>
                <w:szCs w:val="22"/>
              </w:rPr>
              <w:t xml:space="preserve">New loss of pulse (carotid artery, subclavian artery, brachial artery, radial artery, femoral artery, popliteal artery, posterior </w:t>
            </w:r>
            <w:proofErr w:type="spellStart"/>
            <w:r w:rsidRPr="00DA3764">
              <w:rPr>
                <w:sz w:val="22"/>
                <w:szCs w:val="22"/>
              </w:rPr>
              <w:t>tibial</w:t>
            </w:r>
            <w:proofErr w:type="spellEnd"/>
            <w:r w:rsidRPr="00DA3764">
              <w:rPr>
                <w:sz w:val="22"/>
                <w:szCs w:val="22"/>
              </w:rPr>
              <w:t xml:space="preserve"> artery, dorsalis </w:t>
            </w:r>
            <w:proofErr w:type="spellStart"/>
            <w:r w:rsidRPr="00DA3764">
              <w:rPr>
                <w:sz w:val="22"/>
                <w:szCs w:val="22"/>
              </w:rPr>
              <w:t>pedis</w:t>
            </w:r>
            <w:proofErr w:type="spellEnd"/>
            <w:r w:rsidRPr="00DA3764">
              <w:rPr>
                <w:sz w:val="22"/>
                <w:szCs w:val="22"/>
              </w:rPr>
              <w:t xml:space="preserve"> artery) </w:t>
            </w:r>
          </w:p>
          <w:p w14:paraId="555DEEE8" w14:textId="3817F774" w:rsidR="006433C0" w:rsidRPr="00DA3764" w:rsidRDefault="006433C0" w:rsidP="00285CBC">
            <w:pPr>
              <w:pStyle w:val="Default"/>
              <w:numPr>
                <w:ilvl w:val="0"/>
                <w:numId w:val="13"/>
              </w:numPr>
              <w:spacing w:line="276" w:lineRule="auto"/>
              <w:ind w:left="219" w:hanging="180"/>
              <w:rPr>
                <w:sz w:val="22"/>
                <w:szCs w:val="22"/>
              </w:rPr>
            </w:pPr>
            <w:r w:rsidRPr="00DA3764">
              <w:rPr>
                <w:sz w:val="22"/>
                <w:szCs w:val="22"/>
              </w:rPr>
              <w:t xml:space="preserve">New difference in blood pressure between left and right: </w:t>
            </w:r>
            <w:r w:rsidR="00FC3825" w:rsidRPr="00DA3764">
              <w:rPr>
                <w:sz w:val="22"/>
                <w:szCs w:val="22"/>
              </w:rPr>
              <w:t xml:space="preserve">new </w:t>
            </w:r>
            <w:r w:rsidRPr="00DA3764">
              <w:rPr>
                <w:sz w:val="22"/>
                <w:szCs w:val="22"/>
              </w:rPr>
              <w:t xml:space="preserve">difference in systolic blood pressure between left and right of </w:t>
            </w:r>
            <w:r w:rsidR="00FC3825" w:rsidRPr="00DA3764">
              <w:rPr>
                <w:sz w:val="22"/>
                <w:szCs w:val="22"/>
              </w:rPr>
              <w:t>≥</w:t>
            </w:r>
            <w:r w:rsidRPr="00DA3764">
              <w:rPr>
                <w:sz w:val="22"/>
                <w:szCs w:val="22"/>
              </w:rPr>
              <w:t xml:space="preserve">10 mm Hg </w:t>
            </w:r>
          </w:p>
          <w:p w14:paraId="0FA31985" w14:textId="399C6B2E" w:rsidR="006433C0" w:rsidRPr="00DA3764" w:rsidRDefault="006433C0" w:rsidP="00285CBC">
            <w:pPr>
              <w:pStyle w:val="Default"/>
              <w:numPr>
                <w:ilvl w:val="0"/>
                <w:numId w:val="13"/>
              </w:numPr>
              <w:spacing w:line="276" w:lineRule="auto"/>
              <w:ind w:left="219" w:hanging="180"/>
              <w:rPr>
                <w:sz w:val="22"/>
                <w:szCs w:val="22"/>
              </w:rPr>
            </w:pPr>
            <w:r w:rsidRPr="00DA3764">
              <w:rPr>
                <w:sz w:val="22"/>
                <w:szCs w:val="22"/>
              </w:rPr>
              <w:t xml:space="preserve">Tenderness or spontaneous pain in carotid artery: </w:t>
            </w:r>
            <w:r w:rsidR="00FC3825" w:rsidRPr="00DA3764">
              <w:rPr>
                <w:sz w:val="22"/>
                <w:szCs w:val="22"/>
              </w:rPr>
              <w:t xml:space="preserve">increase </w:t>
            </w:r>
            <w:r w:rsidRPr="00DA3764">
              <w:rPr>
                <w:sz w:val="22"/>
                <w:szCs w:val="22"/>
              </w:rPr>
              <w:t xml:space="preserve">in CTCAE grade since baseline </w:t>
            </w:r>
          </w:p>
          <w:p w14:paraId="7F16B19E" w14:textId="1C30FF7E" w:rsidR="006433C0" w:rsidRPr="00DA3764" w:rsidRDefault="006433C0" w:rsidP="00285CBC">
            <w:pPr>
              <w:pStyle w:val="Default"/>
              <w:numPr>
                <w:ilvl w:val="0"/>
                <w:numId w:val="13"/>
              </w:numPr>
              <w:spacing w:line="276" w:lineRule="auto"/>
              <w:ind w:left="219" w:hanging="180"/>
              <w:rPr>
                <w:sz w:val="22"/>
                <w:szCs w:val="22"/>
              </w:rPr>
            </w:pPr>
            <w:r w:rsidRPr="00DA3764">
              <w:rPr>
                <w:sz w:val="22"/>
                <w:szCs w:val="22"/>
              </w:rPr>
              <w:t xml:space="preserve">Spontaneous pain in chest region or back region: </w:t>
            </w:r>
            <w:r w:rsidR="00FC3825" w:rsidRPr="00DA3764">
              <w:rPr>
                <w:sz w:val="22"/>
                <w:szCs w:val="22"/>
              </w:rPr>
              <w:t xml:space="preserve">increase </w:t>
            </w:r>
            <w:r w:rsidRPr="00DA3764">
              <w:rPr>
                <w:sz w:val="22"/>
                <w:szCs w:val="22"/>
              </w:rPr>
              <w:t xml:space="preserve">in CTCAE grade since baseline </w:t>
            </w:r>
          </w:p>
          <w:p w14:paraId="0ACB8556" w14:textId="7BBE3B18" w:rsidR="00AB304D" w:rsidRPr="00DA3764" w:rsidRDefault="006433C0" w:rsidP="00F220BD">
            <w:pPr>
              <w:pStyle w:val="Default"/>
              <w:numPr>
                <w:ilvl w:val="0"/>
                <w:numId w:val="13"/>
              </w:numPr>
              <w:spacing w:line="276" w:lineRule="auto"/>
              <w:ind w:left="219" w:hanging="180"/>
              <w:rPr>
                <w:sz w:val="22"/>
                <w:szCs w:val="22"/>
              </w:rPr>
            </w:pPr>
            <w:r w:rsidRPr="00DA3764">
              <w:rPr>
                <w:sz w:val="22"/>
                <w:szCs w:val="22"/>
              </w:rPr>
              <w:t xml:space="preserve">Aortic valve incompetence (worsening from </w:t>
            </w:r>
            <w:r w:rsidR="0048615D" w:rsidRPr="00DA3764">
              <w:rPr>
                <w:sz w:val="22"/>
                <w:szCs w:val="22"/>
              </w:rPr>
              <w:t>‘</w:t>
            </w:r>
            <w:r w:rsidRPr="00DA3764">
              <w:rPr>
                <w:sz w:val="22"/>
                <w:szCs w:val="22"/>
              </w:rPr>
              <w:t>no symptoms</w:t>
            </w:r>
            <w:r w:rsidR="0048615D" w:rsidRPr="00DA3764">
              <w:rPr>
                <w:sz w:val="22"/>
                <w:szCs w:val="22"/>
              </w:rPr>
              <w:t>’</w:t>
            </w:r>
            <w:r w:rsidRPr="00DA3764">
              <w:rPr>
                <w:sz w:val="22"/>
                <w:szCs w:val="22"/>
              </w:rPr>
              <w:t xml:space="preserve"> or </w:t>
            </w:r>
            <w:r w:rsidR="0048615D" w:rsidRPr="00DA3764">
              <w:rPr>
                <w:sz w:val="22"/>
                <w:szCs w:val="22"/>
              </w:rPr>
              <w:t>‘</w:t>
            </w:r>
            <w:r w:rsidRPr="00DA3764">
              <w:rPr>
                <w:sz w:val="22"/>
                <w:szCs w:val="22"/>
              </w:rPr>
              <w:t>mild</w:t>
            </w:r>
            <w:r w:rsidR="0048615D" w:rsidRPr="00DA3764">
              <w:rPr>
                <w:sz w:val="22"/>
                <w:szCs w:val="22"/>
              </w:rPr>
              <w:t>’</w:t>
            </w:r>
            <w:r w:rsidRPr="00DA3764">
              <w:rPr>
                <w:sz w:val="22"/>
                <w:szCs w:val="22"/>
              </w:rPr>
              <w:t xml:space="preserve"> to at least </w:t>
            </w:r>
            <w:r w:rsidR="0048615D" w:rsidRPr="00DA3764">
              <w:rPr>
                <w:sz w:val="22"/>
                <w:szCs w:val="22"/>
              </w:rPr>
              <w:t>‘</w:t>
            </w:r>
            <w:r w:rsidRPr="00DA3764">
              <w:rPr>
                <w:sz w:val="22"/>
                <w:szCs w:val="22"/>
              </w:rPr>
              <w:t>moderate</w:t>
            </w:r>
            <w:r w:rsidR="0048615D" w:rsidRPr="00DA3764">
              <w:rPr>
                <w:sz w:val="22"/>
                <w:szCs w:val="22"/>
              </w:rPr>
              <w:t>’</w:t>
            </w:r>
            <w:r w:rsidRPr="00DA3764">
              <w:rPr>
                <w:sz w:val="22"/>
                <w:szCs w:val="22"/>
              </w:rPr>
              <w:t xml:space="preserve"> or worsening from </w:t>
            </w:r>
            <w:r w:rsidR="0048615D" w:rsidRPr="00DA3764">
              <w:rPr>
                <w:sz w:val="22"/>
                <w:szCs w:val="22"/>
              </w:rPr>
              <w:t>‘</w:t>
            </w:r>
            <w:r w:rsidRPr="00DA3764">
              <w:rPr>
                <w:sz w:val="22"/>
                <w:szCs w:val="22"/>
              </w:rPr>
              <w:t>moderate</w:t>
            </w:r>
            <w:r w:rsidR="0048615D" w:rsidRPr="00DA3764">
              <w:rPr>
                <w:sz w:val="22"/>
                <w:szCs w:val="22"/>
              </w:rPr>
              <w:t>’</w:t>
            </w:r>
            <w:r w:rsidRPr="00DA3764">
              <w:rPr>
                <w:sz w:val="22"/>
                <w:szCs w:val="22"/>
              </w:rPr>
              <w:t xml:space="preserve"> to </w:t>
            </w:r>
            <w:r w:rsidR="0048615D" w:rsidRPr="00DA3764">
              <w:rPr>
                <w:sz w:val="22"/>
                <w:szCs w:val="22"/>
              </w:rPr>
              <w:t>‘</w:t>
            </w:r>
            <w:r w:rsidRPr="00DA3764">
              <w:rPr>
                <w:sz w:val="22"/>
                <w:szCs w:val="22"/>
              </w:rPr>
              <w:t>severe</w:t>
            </w:r>
            <w:r w:rsidR="0048615D" w:rsidRPr="00DA3764">
              <w:rPr>
                <w:sz w:val="22"/>
                <w:szCs w:val="22"/>
              </w:rPr>
              <w:t>’</w:t>
            </w:r>
            <w:r w:rsidRPr="00DA3764">
              <w:rPr>
                <w:sz w:val="22"/>
                <w:szCs w:val="22"/>
              </w:rPr>
              <w:t xml:space="preserve">) </w:t>
            </w:r>
          </w:p>
        </w:tc>
      </w:tr>
      <w:tr w:rsidR="00AB304D" w:rsidRPr="00DA3764" w14:paraId="2BDF028A" w14:textId="77777777" w:rsidTr="00385D8D">
        <w:tc>
          <w:tcPr>
            <w:tcW w:w="1667" w:type="pct"/>
          </w:tcPr>
          <w:p w14:paraId="379459EB" w14:textId="07F9145F" w:rsidR="00AB304D" w:rsidRPr="00DA3764" w:rsidRDefault="006433C0" w:rsidP="00CE7E66">
            <w:pPr>
              <w:spacing w:line="276" w:lineRule="auto"/>
              <w:rPr>
                <w:rFonts w:ascii="Times New Roman" w:hAnsi="Times New Roman" w:cs="Times New Roman"/>
              </w:rPr>
            </w:pPr>
            <w:r w:rsidRPr="00DA3764">
              <w:rPr>
                <w:rFonts w:ascii="Times New Roman" w:hAnsi="Times New Roman" w:cs="Times New Roman"/>
              </w:rPr>
              <w:lastRenderedPageBreak/>
              <w:t xml:space="preserve">5. </w:t>
            </w:r>
            <w:r w:rsidR="00D80F30" w:rsidRPr="00DA3764">
              <w:rPr>
                <w:rFonts w:ascii="Times New Roman" w:hAnsi="Times New Roman" w:cs="Times New Roman"/>
              </w:rPr>
              <w:t>Isch</w:t>
            </w:r>
            <w:r w:rsidR="007B23CD">
              <w:rPr>
                <w:rFonts w:ascii="Times New Roman" w:hAnsi="Times New Roman" w:cs="Times New Roman"/>
              </w:rPr>
              <w:t>a</w:t>
            </w:r>
            <w:r w:rsidR="00D80F30" w:rsidRPr="00DA3764">
              <w:rPr>
                <w:rFonts w:ascii="Times New Roman" w:hAnsi="Times New Roman" w:cs="Times New Roman"/>
              </w:rPr>
              <w:t>emic symptoms</w:t>
            </w:r>
          </w:p>
        </w:tc>
        <w:tc>
          <w:tcPr>
            <w:tcW w:w="1666" w:type="pct"/>
          </w:tcPr>
          <w:p w14:paraId="2A986147" w14:textId="45F3BF49" w:rsidR="00242C7D" w:rsidRPr="00DA3764" w:rsidRDefault="00242C7D" w:rsidP="00285CBC">
            <w:pPr>
              <w:pStyle w:val="Default"/>
              <w:spacing w:line="276" w:lineRule="auto"/>
              <w:rPr>
                <w:sz w:val="22"/>
                <w:szCs w:val="22"/>
              </w:rPr>
            </w:pPr>
            <w:r w:rsidRPr="00DA3764">
              <w:rPr>
                <w:sz w:val="22"/>
                <w:szCs w:val="22"/>
              </w:rPr>
              <w:t xml:space="preserve">An assessment of </w:t>
            </w:r>
            <w:r w:rsidR="0048615D" w:rsidRPr="00DA3764">
              <w:rPr>
                <w:sz w:val="22"/>
                <w:szCs w:val="22"/>
              </w:rPr>
              <w:t>‘</w:t>
            </w:r>
            <w:r w:rsidRPr="00DA3764">
              <w:rPr>
                <w:sz w:val="22"/>
                <w:szCs w:val="22"/>
              </w:rPr>
              <w:t>signs of relapse present</w:t>
            </w:r>
            <w:r w:rsidR="0048615D" w:rsidRPr="00DA3764">
              <w:rPr>
                <w:sz w:val="22"/>
                <w:szCs w:val="22"/>
              </w:rPr>
              <w:t>’</w:t>
            </w:r>
            <w:r w:rsidRPr="00DA3764">
              <w:rPr>
                <w:sz w:val="22"/>
                <w:szCs w:val="22"/>
              </w:rPr>
              <w:t xml:space="preserve"> should be made for this category if any of the following symptoms are observed at </w:t>
            </w:r>
            <w:r w:rsidR="00FC3825" w:rsidRPr="00DA3764">
              <w:rPr>
                <w:sz w:val="22"/>
                <w:szCs w:val="22"/>
              </w:rPr>
              <w:t xml:space="preserve">grade </w:t>
            </w:r>
            <w:r w:rsidRPr="00DA3764">
              <w:rPr>
                <w:sz w:val="22"/>
                <w:szCs w:val="22"/>
              </w:rPr>
              <w:t xml:space="preserve">2 or higher </w:t>
            </w:r>
          </w:p>
          <w:p w14:paraId="32D8BC82" w14:textId="362E5177" w:rsidR="00242C7D" w:rsidRPr="00DA3764" w:rsidRDefault="00242C7D" w:rsidP="00285CBC">
            <w:pPr>
              <w:pStyle w:val="Default"/>
              <w:numPr>
                <w:ilvl w:val="0"/>
                <w:numId w:val="9"/>
              </w:numPr>
              <w:spacing w:line="276" w:lineRule="auto"/>
              <w:ind w:left="276" w:hanging="276"/>
              <w:rPr>
                <w:sz w:val="22"/>
                <w:szCs w:val="22"/>
              </w:rPr>
            </w:pPr>
            <w:r w:rsidRPr="00DA3764">
              <w:rPr>
                <w:sz w:val="22"/>
                <w:szCs w:val="22"/>
              </w:rPr>
              <w:t xml:space="preserve">Abdominal pain </w:t>
            </w:r>
          </w:p>
          <w:p w14:paraId="3FC4874A" w14:textId="2C76C5F0" w:rsidR="00242C7D" w:rsidRPr="00DA3764" w:rsidRDefault="00242C7D" w:rsidP="00285CBC">
            <w:pPr>
              <w:pStyle w:val="Default"/>
              <w:numPr>
                <w:ilvl w:val="0"/>
                <w:numId w:val="9"/>
              </w:numPr>
              <w:spacing w:line="276" w:lineRule="auto"/>
              <w:ind w:left="276" w:hanging="276"/>
              <w:rPr>
                <w:sz w:val="22"/>
                <w:szCs w:val="22"/>
              </w:rPr>
            </w:pPr>
            <w:r w:rsidRPr="00DA3764">
              <w:rPr>
                <w:sz w:val="22"/>
                <w:szCs w:val="22"/>
              </w:rPr>
              <w:t xml:space="preserve">Seizure </w:t>
            </w:r>
          </w:p>
          <w:p w14:paraId="71870755" w14:textId="4EB535E3" w:rsidR="00242C7D" w:rsidRPr="00DA3764" w:rsidRDefault="00242C7D" w:rsidP="00285CBC">
            <w:pPr>
              <w:pStyle w:val="Default"/>
              <w:numPr>
                <w:ilvl w:val="0"/>
                <w:numId w:val="9"/>
              </w:numPr>
              <w:spacing w:line="276" w:lineRule="auto"/>
              <w:ind w:left="276" w:hanging="276"/>
              <w:rPr>
                <w:sz w:val="22"/>
                <w:szCs w:val="22"/>
              </w:rPr>
            </w:pPr>
            <w:r w:rsidRPr="00DA3764">
              <w:rPr>
                <w:sz w:val="22"/>
                <w:szCs w:val="22"/>
              </w:rPr>
              <w:t xml:space="preserve">Syncope </w:t>
            </w:r>
          </w:p>
          <w:p w14:paraId="643145D5" w14:textId="0FCB4164" w:rsidR="00242C7D" w:rsidRPr="00DA3764" w:rsidRDefault="00242C7D" w:rsidP="00285CBC">
            <w:pPr>
              <w:pStyle w:val="Default"/>
              <w:numPr>
                <w:ilvl w:val="0"/>
                <w:numId w:val="9"/>
              </w:numPr>
              <w:spacing w:line="276" w:lineRule="auto"/>
              <w:ind w:left="276" w:hanging="276"/>
              <w:rPr>
                <w:sz w:val="22"/>
                <w:szCs w:val="22"/>
              </w:rPr>
            </w:pPr>
            <w:r w:rsidRPr="00DA3764">
              <w:rPr>
                <w:sz w:val="22"/>
                <w:szCs w:val="22"/>
              </w:rPr>
              <w:t xml:space="preserve">Intermittent claudication </w:t>
            </w:r>
          </w:p>
          <w:p w14:paraId="514A6815" w14:textId="03687785" w:rsidR="00AB304D" w:rsidRPr="00DA3764" w:rsidRDefault="00242C7D" w:rsidP="00285CBC">
            <w:pPr>
              <w:pStyle w:val="Default"/>
              <w:numPr>
                <w:ilvl w:val="0"/>
                <w:numId w:val="9"/>
              </w:numPr>
              <w:spacing w:line="276" w:lineRule="auto"/>
              <w:ind w:left="276" w:hanging="276"/>
              <w:rPr>
                <w:sz w:val="22"/>
                <w:szCs w:val="22"/>
              </w:rPr>
            </w:pPr>
            <w:proofErr w:type="spellStart"/>
            <w:r w:rsidRPr="00DA3764">
              <w:rPr>
                <w:sz w:val="22"/>
                <w:szCs w:val="22"/>
              </w:rPr>
              <w:t>Isch</w:t>
            </w:r>
            <w:r w:rsidR="00FC3825" w:rsidRPr="00DA3764">
              <w:rPr>
                <w:sz w:val="22"/>
                <w:szCs w:val="22"/>
              </w:rPr>
              <w:t>a</w:t>
            </w:r>
            <w:r w:rsidRPr="00DA3764">
              <w:rPr>
                <w:sz w:val="22"/>
                <w:szCs w:val="22"/>
              </w:rPr>
              <w:t>emic</w:t>
            </w:r>
            <w:proofErr w:type="spellEnd"/>
            <w:r w:rsidRPr="00DA3764">
              <w:rPr>
                <w:sz w:val="22"/>
                <w:szCs w:val="22"/>
              </w:rPr>
              <w:t xml:space="preserve"> cardiac pain </w:t>
            </w:r>
          </w:p>
        </w:tc>
        <w:tc>
          <w:tcPr>
            <w:tcW w:w="1667" w:type="pct"/>
          </w:tcPr>
          <w:p w14:paraId="0ED31030" w14:textId="21F2DA1C" w:rsidR="006433C0" w:rsidRPr="00DA3764" w:rsidRDefault="006433C0" w:rsidP="00285CBC">
            <w:pPr>
              <w:pStyle w:val="Default"/>
              <w:spacing w:line="276" w:lineRule="auto"/>
              <w:rPr>
                <w:sz w:val="22"/>
                <w:szCs w:val="22"/>
              </w:rPr>
            </w:pPr>
            <w:r w:rsidRPr="00DA3764">
              <w:rPr>
                <w:sz w:val="22"/>
                <w:szCs w:val="22"/>
              </w:rPr>
              <w:t xml:space="preserve">An assessment of </w:t>
            </w:r>
            <w:r w:rsidR="0048615D" w:rsidRPr="00DA3764">
              <w:rPr>
                <w:sz w:val="22"/>
                <w:szCs w:val="22"/>
              </w:rPr>
              <w:t>‘</w:t>
            </w:r>
            <w:r w:rsidRPr="00DA3764">
              <w:rPr>
                <w:sz w:val="22"/>
                <w:szCs w:val="22"/>
              </w:rPr>
              <w:t>signs of relapse present</w:t>
            </w:r>
            <w:r w:rsidR="0048615D" w:rsidRPr="00DA3764">
              <w:rPr>
                <w:sz w:val="22"/>
                <w:szCs w:val="22"/>
              </w:rPr>
              <w:t>’</w:t>
            </w:r>
            <w:r w:rsidRPr="00DA3764">
              <w:rPr>
                <w:sz w:val="22"/>
                <w:szCs w:val="22"/>
              </w:rPr>
              <w:t xml:space="preserve"> should be made for this category if there is an increase in the CTCAE grade from baseline for any of the following events. If symptoms of </w:t>
            </w:r>
            <w:r w:rsidR="00F220BD" w:rsidRPr="00DA3764">
              <w:rPr>
                <w:sz w:val="22"/>
                <w:szCs w:val="22"/>
              </w:rPr>
              <w:t xml:space="preserve">grade </w:t>
            </w:r>
            <w:r w:rsidRPr="00DA3764">
              <w:rPr>
                <w:sz w:val="22"/>
                <w:szCs w:val="22"/>
              </w:rPr>
              <w:t>2 or higher (</w:t>
            </w:r>
            <w:r w:rsidR="00F220BD" w:rsidRPr="00DA3764">
              <w:rPr>
                <w:sz w:val="22"/>
                <w:szCs w:val="22"/>
              </w:rPr>
              <w:t xml:space="preserve">grade </w:t>
            </w:r>
            <w:r w:rsidRPr="00DA3764">
              <w:rPr>
                <w:sz w:val="22"/>
                <w:szCs w:val="22"/>
              </w:rPr>
              <w:t xml:space="preserve">3 or higher for myocardial infarction) occur, it should be deemed that </w:t>
            </w:r>
            <w:proofErr w:type="spellStart"/>
            <w:r w:rsidRPr="00DA3764">
              <w:rPr>
                <w:sz w:val="22"/>
                <w:szCs w:val="22"/>
              </w:rPr>
              <w:t>Takayasu</w:t>
            </w:r>
            <w:proofErr w:type="spellEnd"/>
            <w:r w:rsidRPr="00DA3764">
              <w:rPr>
                <w:sz w:val="22"/>
                <w:szCs w:val="22"/>
              </w:rPr>
              <w:t xml:space="preserve"> arteritis has occurred, even if none of the criteria for</w:t>
            </w:r>
            <w:r w:rsidR="009A35EC" w:rsidRPr="00DA3764">
              <w:rPr>
                <w:sz w:val="22"/>
                <w:szCs w:val="22"/>
              </w:rPr>
              <w:t xml:space="preserve"> categories</w:t>
            </w:r>
            <w:r w:rsidRPr="00DA3764">
              <w:rPr>
                <w:sz w:val="22"/>
                <w:szCs w:val="22"/>
              </w:rPr>
              <w:t xml:space="preserve"> 1</w:t>
            </w:r>
            <w:r w:rsidR="00F220BD" w:rsidRPr="00DA3764">
              <w:rPr>
                <w:sz w:val="22"/>
                <w:szCs w:val="22"/>
              </w:rPr>
              <w:t>-</w:t>
            </w:r>
            <w:r w:rsidRPr="00DA3764">
              <w:rPr>
                <w:sz w:val="22"/>
                <w:szCs w:val="22"/>
              </w:rPr>
              <w:t xml:space="preserve">4 are met </w:t>
            </w:r>
          </w:p>
          <w:p w14:paraId="5220B9EF" w14:textId="15092D39" w:rsidR="006433C0" w:rsidRPr="00DA3764" w:rsidRDefault="006433C0" w:rsidP="00285CBC">
            <w:pPr>
              <w:pStyle w:val="Default"/>
              <w:numPr>
                <w:ilvl w:val="0"/>
                <w:numId w:val="14"/>
              </w:numPr>
              <w:spacing w:line="276" w:lineRule="auto"/>
              <w:ind w:left="219" w:hanging="180"/>
              <w:rPr>
                <w:sz w:val="22"/>
                <w:szCs w:val="22"/>
              </w:rPr>
            </w:pPr>
            <w:r w:rsidRPr="00DA3764">
              <w:rPr>
                <w:sz w:val="22"/>
                <w:szCs w:val="22"/>
              </w:rPr>
              <w:t xml:space="preserve">Abdominal pain </w:t>
            </w:r>
          </w:p>
          <w:p w14:paraId="4C89DE04" w14:textId="798EB3A9" w:rsidR="006433C0" w:rsidRPr="00DA3764" w:rsidRDefault="006433C0" w:rsidP="00285CBC">
            <w:pPr>
              <w:pStyle w:val="Default"/>
              <w:numPr>
                <w:ilvl w:val="0"/>
                <w:numId w:val="14"/>
              </w:numPr>
              <w:spacing w:line="276" w:lineRule="auto"/>
              <w:ind w:left="219" w:hanging="180"/>
              <w:rPr>
                <w:sz w:val="22"/>
                <w:szCs w:val="22"/>
              </w:rPr>
            </w:pPr>
            <w:r w:rsidRPr="00DA3764">
              <w:rPr>
                <w:sz w:val="22"/>
                <w:szCs w:val="22"/>
              </w:rPr>
              <w:t xml:space="preserve">Stroke </w:t>
            </w:r>
          </w:p>
          <w:p w14:paraId="60171146" w14:textId="00AD5018" w:rsidR="006433C0" w:rsidRPr="00DA3764" w:rsidRDefault="006433C0" w:rsidP="00285CBC">
            <w:pPr>
              <w:pStyle w:val="Default"/>
              <w:numPr>
                <w:ilvl w:val="0"/>
                <w:numId w:val="14"/>
              </w:numPr>
              <w:spacing w:line="276" w:lineRule="auto"/>
              <w:ind w:left="219" w:hanging="180"/>
              <w:rPr>
                <w:sz w:val="22"/>
                <w:szCs w:val="22"/>
              </w:rPr>
            </w:pPr>
            <w:r w:rsidRPr="00DA3764">
              <w:rPr>
                <w:sz w:val="22"/>
                <w:szCs w:val="22"/>
              </w:rPr>
              <w:t xml:space="preserve">Seizure </w:t>
            </w:r>
          </w:p>
          <w:p w14:paraId="6FFE91C1" w14:textId="078E3A4A" w:rsidR="006433C0" w:rsidRPr="00DA3764" w:rsidRDefault="006433C0" w:rsidP="00285CBC">
            <w:pPr>
              <w:pStyle w:val="Default"/>
              <w:numPr>
                <w:ilvl w:val="0"/>
                <w:numId w:val="14"/>
              </w:numPr>
              <w:spacing w:line="276" w:lineRule="auto"/>
              <w:ind w:left="219" w:hanging="180"/>
              <w:rPr>
                <w:sz w:val="22"/>
                <w:szCs w:val="22"/>
              </w:rPr>
            </w:pPr>
            <w:r w:rsidRPr="00DA3764">
              <w:rPr>
                <w:sz w:val="22"/>
                <w:szCs w:val="22"/>
              </w:rPr>
              <w:t xml:space="preserve">Syncope </w:t>
            </w:r>
          </w:p>
          <w:p w14:paraId="142A8576" w14:textId="30371729" w:rsidR="006433C0" w:rsidRPr="00DA3764" w:rsidRDefault="006433C0" w:rsidP="00285CBC">
            <w:pPr>
              <w:pStyle w:val="Default"/>
              <w:numPr>
                <w:ilvl w:val="0"/>
                <w:numId w:val="14"/>
              </w:numPr>
              <w:spacing w:line="276" w:lineRule="auto"/>
              <w:ind w:left="219" w:hanging="180"/>
              <w:rPr>
                <w:sz w:val="22"/>
                <w:szCs w:val="22"/>
              </w:rPr>
            </w:pPr>
            <w:r w:rsidRPr="00DA3764">
              <w:rPr>
                <w:sz w:val="22"/>
                <w:szCs w:val="22"/>
              </w:rPr>
              <w:t xml:space="preserve">Intermittent claudication </w:t>
            </w:r>
          </w:p>
          <w:p w14:paraId="3E4ECC85" w14:textId="434B9476" w:rsidR="006433C0" w:rsidRPr="00DA3764" w:rsidRDefault="006433C0" w:rsidP="00285CBC">
            <w:pPr>
              <w:pStyle w:val="Default"/>
              <w:numPr>
                <w:ilvl w:val="0"/>
                <w:numId w:val="14"/>
              </w:numPr>
              <w:spacing w:line="276" w:lineRule="auto"/>
              <w:ind w:left="219" w:hanging="180"/>
              <w:rPr>
                <w:sz w:val="22"/>
                <w:szCs w:val="22"/>
              </w:rPr>
            </w:pPr>
            <w:proofErr w:type="spellStart"/>
            <w:r w:rsidRPr="00DA3764">
              <w:rPr>
                <w:sz w:val="22"/>
                <w:szCs w:val="22"/>
              </w:rPr>
              <w:t>Isch</w:t>
            </w:r>
            <w:r w:rsidR="007B23CD">
              <w:rPr>
                <w:sz w:val="22"/>
                <w:szCs w:val="22"/>
              </w:rPr>
              <w:t>a</w:t>
            </w:r>
            <w:r w:rsidRPr="00DA3764">
              <w:rPr>
                <w:sz w:val="22"/>
                <w:szCs w:val="22"/>
              </w:rPr>
              <w:t>emic</w:t>
            </w:r>
            <w:proofErr w:type="spellEnd"/>
            <w:r w:rsidRPr="00DA3764">
              <w:rPr>
                <w:sz w:val="22"/>
                <w:szCs w:val="22"/>
              </w:rPr>
              <w:t xml:space="preserve"> cardiac pain </w:t>
            </w:r>
          </w:p>
          <w:p w14:paraId="2E87D40F" w14:textId="393F507B" w:rsidR="00AB304D" w:rsidRPr="00DA3764" w:rsidRDefault="006433C0" w:rsidP="00285CBC">
            <w:pPr>
              <w:pStyle w:val="Default"/>
              <w:numPr>
                <w:ilvl w:val="0"/>
                <w:numId w:val="14"/>
              </w:numPr>
              <w:spacing w:line="276" w:lineRule="auto"/>
              <w:ind w:left="219" w:hanging="180"/>
              <w:rPr>
                <w:sz w:val="22"/>
                <w:szCs w:val="22"/>
              </w:rPr>
            </w:pPr>
            <w:r w:rsidRPr="00DA3764">
              <w:rPr>
                <w:sz w:val="22"/>
                <w:szCs w:val="22"/>
              </w:rPr>
              <w:t xml:space="preserve">Myocardial infarction </w:t>
            </w:r>
          </w:p>
        </w:tc>
      </w:tr>
    </w:tbl>
    <w:p w14:paraId="1403595F" w14:textId="4AA0BE9B" w:rsidR="00BE0B40" w:rsidRPr="00DA3764" w:rsidRDefault="00BE0B40" w:rsidP="00700C5D">
      <w:pPr>
        <w:spacing w:after="0" w:line="480" w:lineRule="auto"/>
        <w:rPr>
          <w:rFonts w:ascii="Times New Roman" w:hAnsi="Times New Roman" w:cs="Times New Roman"/>
          <w:szCs w:val="24"/>
        </w:rPr>
        <w:sectPr w:rsidR="00BE0B40" w:rsidRPr="00DA3764" w:rsidSect="00AB304D">
          <w:pgSz w:w="16838" w:h="11906" w:orient="landscape"/>
          <w:pgMar w:top="1440" w:right="1440" w:bottom="1440" w:left="1440" w:header="708" w:footer="708" w:gutter="0"/>
          <w:cols w:space="708"/>
          <w:docGrid w:linePitch="360"/>
        </w:sectPr>
      </w:pPr>
    </w:p>
    <w:p w14:paraId="78145220" w14:textId="6ED01DEE" w:rsidR="0017314D" w:rsidRDefault="0017314D" w:rsidP="0017314D">
      <w:pPr>
        <w:keepNext/>
        <w:autoSpaceDE w:val="0"/>
        <w:autoSpaceDN w:val="0"/>
        <w:adjustRightInd w:val="0"/>
        <w:spacing w:after="0" w:line="480" w:lineRule="auto"/>
        <w:rPr>
          <w:rFonts w:ascii="Times New Roman" w:hAnsi="Times New Roman" w:cs="Times New Roman"/>
          <w:szCs w:val="24"/>
        </w:rPr>
      </w:pPr>
      <w:r w:rsidRPr="00DA3764">
        <w:rPr>
          <w:rFonts w:ascii="Times New Roman" w:hAnsi="Times New Roman" w:cs="Times New Roman"/>
          <w:b/>
          <w:sz w:val="24"/>
          <w:szCs w:val="24"/>
        </w:rPr>
        <w:lastRenderedPageBreak/>
        <w:t xml:space="preserve">Supplementary </w:t>
      </w:r>
      <w:r w:rsidRPr="00DA3764">
        <w:rPr>
          <w:rFonts w:ascii="Times New Roman" w:hAnsi="Times New Roman" w:cs="Times New Roman"/>
          <w:b/>
          <w:sz w:val="24"/>
        </w:rPr>
        <w:t xml:space="preserve">Figure S1. </w:t>
      </w:r>
      <w:r w:rsidRPr="00DA3764">
        <w:rPr>
          <w:rFonts w:ascii="Times New Roman" w:hAnsi="Times New Roman" w:cs="Times New Roman"/>
          <w:sz w:val="24"/>
        </w:rPr>
        <w:t>Subgroup analysis showing hazard ratio for relapse (protocol definition, ITT population).</w:t>
      </w:r>
      <w:r w:rsidRPr="00DA3764">
        <w:rPr>
          <w:rFonts w:ascii="Times New Roman" w:hAnsi="Times New Roman" w:cs="Times New Roman"/>
          <w:b/>
          <w:sz w:val="24"/>
        </w:rPr>
        <w:t xml:space="preserve"> </w:t>
      </w:r>
      <w:r w:rsidRPr="005425CF">
        <w:rPr>
          <w:rFonts w:ascii="Times New Roman" w:hAnsi="Times New Roman" w:cs="Times New Roman"/>
          <w:szCs w:val="24"/>
        </w:rPr>
        <w:t>Data are based on a Cox regression analysis and stratified by age (&lt;18, 18-&lt;65, ≥65 years).</w:t>
      </w:r>
      <w:r>
        <w:rPr>
          <w:rFonts w:ascii="Times New Roman" w:hAnsi="Times New Roman" w:cs="Times New Roman"/>
          <w:szCs w:val="24"/>
        </w:rPr>
        <w:t xml:space="preserve"> </w:t>
      </w:r>
      <w:r w:rsidRPr="00DE7077">
        <w:rPr>
          <w:rFonts w:ascii="Times New Roman" w:hAnsi="Times New Roman" w:cs="Times New Roman"/>
          <w:szCs w:val="24"/>
        </w:rPr>
        <w:t>Hazard ratios and 95% CIs are shown in the plot</w:t>
      </w:r>
      <w:r w:rsidRPr="00DA3764">
        <w:rPr>
          <w:rFonts w:ascii="Times New Roman" w:hAnsi="Times New Roman" w:cs="Times New Roman"/>
          <w:szCs w:val="24"/>
        </w:rPr>
        <w:t>.</w:t>
      </w:r>
      <w:r>
        <w:rPr>
          <w:rFonts w:ascii="Times New Roman" w:hAnsi="Times New Roman" w:cs="Times New Roman"/>
          <w:szCs w:val="24"/>
        </w:rPr>
        <w:t xml:space="preserve"> </w:t>
      </w:r>
      <w:r w:rsidRPr="00074A28">
        <w:rPr>
          <w:rFonts w:ascii="Times New Roman" w:hAnsi="Times New Roman" w:cs="Times New Roman"/>
          <w:szCs w:val="24"/>
        </w:rPr>
        <w:t>*</w:t>
      </w:r>
      <w:r w:rsidRPr="00DA3764">
        <w:rPr>
          <w:rFonts w:ascii="Times New Roman" w:hAnsi="Times New Roman" w:cs="Times New Roman"/>
          <w:szCs w:val="24"/>
        </w:rPr>
        <w:t>Category is defined by median of pooled data.</w:t>
      </w:r>
      <w:r>
        <w:rPr>
          <w:rFonts w:ascii="Times New Roman" w:hAnsi="Times New Roman" w:cs="Times New Roman"/>
          <w:szCs w:val="24"/>
        </w:rPr>
        <w:t xml:space="preserve"> DMARDs, disease-modifying </w:t>
      </w:r>
      <w:proofErr w:type="spellStart"/>
      <w:r>
        <w:rPr>
          <w:rFonts w:ascii="Times New Roman" w:hAnsi="Times New Roman" w:cs="Times New Roman"/>
          <w:szCs w:val="24"/>
        </w:rPr>
        <w:t>antirheumatic</w:t>
      </w:r>
      <w:proofErr w:type="spellEnd"/>
      <w:r>
        <w:rPr>
          <w:rFonts w:ascii="Times New Roman" w:hAnsi="Times New Roman" w:cs="Times New Roman"/>
          <w:szCs w:val="24"/>
        </w:rPr>
        <w:t xml:space="preserve"> drugs; </w:t>
      </w:r>
      <w:r w:rsidR="00023712">
        <w:rPr>
          <w:rFonts w:ascii="Times New Roman" w:hAnsi="Times New Roman" w:cs="Times New Roman"/>
          <w:szCs w:val="24"/>
        </w:rPr>
        <w:t>SC, subcutaneous;</w:t>
      </w:r>
      <w:r w:rsidR="00023712">
        <w:rPr>
          <w:rFonts w:ascii="Times New Roman" w:hAnsi="Times New Roman" w:cs="Times New Roman"/>
          <w:szCs w:val="24"/>
        </w:rPr>
        <w:t xml:space="preserve"> </w:t>
      </w:r>
      <w:bookmarkStart w:id="0" w:name="_GoBack"/>
      <w:bookmarkEnd w:id="0"/>
      <w:r>
        <w:rPr>
          <w:rFonts w:ascii="Times New Roman" w:hAnsi="Times New Roman" w:cs="Times New Roman"/>
          <w:szCs w:val="24"/>
        </w:rPr>
        <w:t xml:space="preserve">TCZ, </w:t>
      </w:r>
      <w:proofErr w:type="spellStart"/>
      <w:r>
        <w:rPr>
          <w:rFonts w:ascii="Times New Roman" w:hAnsi="Times New Roman" w:cs="Times New Roman"/>
          <w:szCs w:val="24"/>
        </w:rPr>
        <w:t>tocilizumab</w:t>
      </w:r>
      <w:proofErr w:type="spellEnd"/>
      <w:r w:rsidR="00023712">
        <w:rPr>
          <w:rFonts w:ascii="Times New Roman" w:hAnsi="Times New Roman" w:cs="Times New Roman" w:hint="eastAsia"/>
          <w:szCs w:val="24"/>
          <w:lang w:eastAsia="ja-JP"/>
        </w:rPr>
        <w:t>.</w:t>
      </w:r>
      <w:r>
        <w:rPr>
          <w:rFonts w:ascii="Times New Roman" w:hAnsi="Times New Roman" w:cs="Times New Roman"/>
          <w:szCs w:val="24"/>
        </w:rPr>
        <w:t xml:space="preserve"> </w:t>
      </w:r>
    </w:p>
    <w:p w14:paraId="52863375" w14:textId="4C32EEAD" w:rsidR="003B65AF" w:rsidRDefault="00023712" w:rsidP="00074A28">
      <w:pPr>
        <w:keepNext/>
        <w:autoSpaceDE w:val="0"/>
        <w:autoSpaceDN w:val="0"/>
        <w:adjustRightInd w:val="0"/>
        <w:spacing w:after="0" w:line="480" w:lineRule="auto"/>
        <w:rPr>
          <w:rFonts w:ascii="Times New Roman" w:hAnsi="Times New Roman" w:cs="Times New Roman"/>
          <w:b/>
          <w:sz w:val="24"/>
          <w:szCs w:val="24"/>
        </w:rPr>
      </w:pPr>
      <w:r>
        <w:rPr>
          <w:rFonts w:ascii="Times New Roman" w:hAnsi="Times New Roman" w:cs="Times New Roman"/>
          <w:b/>
          <w:sz w:val="24"/>
          <w:szCs w:val="24"/>
        </w:rPr>
        <w:pict w14:anchorId="28881E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1.75pt;height:256.45pt">
            <v:imagedata r:id="rId9" o:title="Supp FigS1-01"/>
          </v:shape>
        </w:pict>
      </w:r>
    </w:p>
    <w:p w14:paraId="0A51F005" w14:textId="611FD9ED" w:rsidR="009A35EC" w:rsidRPr="00DA3764" w:rsidRDefault="009A35EC" w:rsidP="009A35EC">
      <w:pPr>
        <w:spacing w:after="0" w:line="480" w:lineRule="auto"/>
      </w:pPr>
    </w:p>
    <w:p w14:paraId="269B46A6" w14:textId="7CA62522" w:rsidR="006156E5" w:rsidRPr="00DA3764" w:rsidRDefault="006156E5" w:rsidP="009A35EC">
      <w:pPr>
        <w:spacing w:after="0" w:line="480" w:lineRule="auto"/>
        <w:rPr>
          <w:rFonts w:ascii="Times New Roman" w:hAnsi="Times New Roman" w:cs="Times New Roman"/>
          <w:vanish/>
          <w:color w:val="2E74B5" w:themeColor="accent1" w:themeShade="BF"/>
          <w:sz w:val="24"/>
          <w:szCs w:val="24"/>
        </w:rPr>
      </w:pPr>
    </w:p>
    <w:p w14:paraId="717C1BC1" w14:textId="0565FA5D" w:rsidR="00216E9C" w:rsidRPr="00DA3764" w:rsidRDefault="00216E9C" w:rsidP="001726CE">
      <w:pPr>
        <w:spacing w:after="0" w:line="480" w:lineRule="auto"/>
        <w:rPr>
          <w:rFonts w:ascii="Times New Roman" w:hAnsi="Times New Roman" w:cs="Times New Roman"/>
          <w:sz w:val="24"/>
          <w:szCs w:val="24"/>
        </w:rPr>
      </w:pPr>
    </w:p>
    <w:p w14:paraId="1FECCD04" w14:textId="77777777" w:rsidR="00063A47" w:rsidRDefault="00063A47" w:rsidP="009A35EC">
      <w:pPr>
        <w:spacing w:after="0" w:line="240" w:lineRule="auto"/>
        <w:rPr>
          <w:rFonts w:ascii="Times New Roman" w:hAnsi="Times New Roman" w:cs="Times New Roman"/>
          <w:b/>
          <w:sz w:val="24"/>
          <w:szCs w:val="24"/>
        </w:rPr>
      </w:pPr>
      <w:r>
        <w:rPr>
          <w:rFonts w:ascii="Times New Roman" w:hAnsi="Times New Roman" w:cs="Times New Roman"/>
          <w:b/>
          <w:sz w:val="24"/>
          <w:szCs w:val="24"/>
        </w:rPr>
        <w:br w:type="page"/>
      </w:r>
    </w:p>
    <w:p w14:paraId="6641E295" w14:textId="70380068" w:rsidR="00063A47" w:rsidRDefault="0057485B" w:rsidP="00074A28">
      <w:pPr>
        <w:spacing w:after="0" w:line="480" w:lineRule="auto"/>
        <w:rPr>
          <w:rFonts w:ascii="Times New Roman" w:hAnsi="Times New Roman" w:cs="Times New Roman"/>
          <w:b/>
          <w:sz w:val="24"/>
          <w:szCs w:val="24"/>
        </w:rPr>
      </w:pPr>
      <w:r w:rsidRPr="001342EA">
        <w:rPr>
          <w:rFonts w:ascii="Times New Roman" w:hAnsi="Times New Roman" w:cs="Times New Roman"/>
          <w:b/>
          <w:sz w:val="24"/>
          <w:szCs w:val="24"/>
        </w:rPr>
        <w:lastRenderedPageBreak/>
        <w:t>REFERENCES</w:t>
      </w:r>
    </w:p>
    <w:p w14:paraId="43C29A41" w14:textId="77777777" w:rsidR="00AA5A93" w:rsidRPr="00E53005" w:rsidRDefault="00AA5A93" w:rsidP="00E53005">
      <w:pPr>
        <w:pStyle w:val="EndNoteBibliography"/>
        <w:spacing w:after="240"/>
        <w:ind w:left="720" w:hanging="720"/>
      </w:pPr>
    </w:p>
    <w:p w14:paraId="3F189FA2" w14:textId="6FB334A5" w:rsidR="00063A47" w:rsidRPr="00292B61" w:rsidRDefault="00063A47" w:rsidP="00074A28">
      <w:pPr>
        <w:tabs>
          <w:tab w:val="right" w:pos="540"/>
          <w:tab w:val="left" w:pos="720"/>
        </w:tabs>
        <w:spacing w:after="0" w:line="480" w:lineRule="auto"/>
        <w:ind w:left="720" w:hanging="720"/>
        <w:rPr>
          <w:rFonts w:ascii="Times New Roman" w:hAnsi="Times New Roman" w:cs="Times New Roman"/>
          <w:noProof/>
          <w:sz w:val="24"/>
          <w:szCs w:val="24"/>
        </w:rPr>
      </w:pPr>
      <w:r>
        <w:rPr>
          <w:rFonts w:ascii="Times New Roman" w:hAnsi="Times New Roman" w:cs="Times New Roman"/>
          <w:noProof/>
          <w:sz w:val="24"/>
          <w:szCs w:val="24"/>
        </w:rPr>
        <w:tab/>
      </w:r>
      <w:r w:rsidR="00872C30">
        <w:rPr>
          <w:rFonts w:ascii="Times New Roman" w:hAnsi="Times New Roman" w:cs="Times New Roman"/>
          <w:noProof/>
          <w:sz w:val="24"/>
          <w:szCs w:val="24"/>
        </w:rPr>
        <w:t>1</w:t>
      </w:r>
      <w:r w:rsidRPr="00292B61">
        <w:rPr>
          <w:rFonts w:ascii="Times New Roman" w:hAnsi="Times New Roman" w:cs="Times New Roman"/>
          <w:noProof/>
          <w:sz w:val="24"/>
          <w:szCs w:val="24"/>
        </w:rPr>
        <w:t xml:space="preserve"> </w:t>
      </w:r>
      <w:r w:rsidRPr="00292B61">
        <w:rPr>
          <w:rFonts w:ascii="Times New Roman" w:hAnsi="Times New Roman" w:cs="Times New Roman"/>
          <w:noProof/>
          <w:sz w:val="24"/>
          <w:szCs w:val="24"/>
        </w:rPr>
        <w:tab/>
        <w:t>Brunner J, Feldman BM, Tyrrell PN</w:t>
      </w:r>
      <w:r w:rsidR="0057485B">
        <w:rPr>
          <w:rFonts w:ascii="Times New Roman" w:hAnsi="Times New Roman" w:cs="Times New Roman"/>
          <w:noProof/>
          <w:sz w:val="24"/>
          <w:szCs w:val="24"/>
        </w:rPr>
        <w:t xml:space="preserve">, </w:t>
      </w:r>
      <w:r w:rsidR="0057485B" w:rsidRPr="0057485B">
        <w:rPr>
          <w:rFonts w:ascii="Times New Roman" w:hAnsi="Times New Roman" w:cs="Times New Roman"/>
          <w:i/>
          <w:noProof/>
          <w:sz w:val="24"/>
          <w:szCs w:val="24"/>
        </w:rPr>
        <w:t>et al</w:t>
      </w:r>
      <w:r w:rsidRPr="00292B61">
        <w:rPr>
          <w:rFonts w:ascii="Times New Roman" w:hAnsi="Times New Roman" w:cs="Times New Roman"/>
          <w:noProof/>
          <w:sz w:val="24"/>
          <w:szCs w:val="24"/>
        </w:rPr>
        <w:t xml:space="preserve">. Takayasu arteritis in children and adolescents. </w:t>
      </w:r>
      <w:r w:rsidRPr="00292B61">
        <w:rPr>
          <w:rFonts w:ascii="Times New Roman" w:hAnsi="Times New Roman" w:cs="Times New Roman"/>
          <w:i/>
          <w:noProof/>
          <w:sz w:val="24"/>
          <w:szCs w:val="24"/>
        </w:rPr>
        <w:t>Rheumatology</w:t>
      </w:r>
      <w:r w:rsidRPr="00292B61">
        <w:rPr>
          <w:rFonts w:ascii="Times New Roman" w:hAnsi="Times New Roman" w:cs="Times New Roman"/>
          <w:noProof/>
          <w:sz w:val="24"/>
          <w:szCs w:val="24"/>
        </w:rPr>
        <w:t xml:space="preserve"> 2010;49):1806-14.</w:t>
      </w:r>
    </w:p>
    <w:p w14:paraId="45F6E5E8" w14:textId="124135BD" w:rsidR="00063A47" w:rsidRDefault="00063A47" w:rsidP="00074A28">
      <w:pPr>
        <w:spacing w:after="0" w:line="480" w:lineRule="auto"/>
        <w:rPr>
          <w:rFonts w:ascii="Times New Roman" w:hAnsi="Times New Roman" w:cs="Times New Roman"/>
          <w:b/>
          <w:sz w:val="24"/>
          <w:szCs w:val="24"/>
        </w:rPr>
      </w:pPr>
    </w:p>
    <w:p w14:paraId="315D86C6" w14:textId="7BEB4E4B" w:rsidR="00063A47" w:rsidRDefault="00AA5A93" w:rsidP="00074A28">
      <w:pPr>
        <w:tabs>
          <w:tab w:val="right" w:pos="540"/>
          <w:tab w:val="left" w:pos="720"/>
        </w:tabs>
        <w:spacing w:after="0" w:line="480" w:lineRule="auto"/>
        <w:ind w:left="720" w:hanging="720"/>
        <w:rPr>
          <w:rFonts w:ascii="Times New Roman" w:hAnsi="Times New Roman" w:cs="Times New Roman"/>
          <w:noProof/>
          <w:sz w:val="24"/>
          <w:szCs w:val="24"/>
        </w:rPr>
      </w:pPr>
      <w:r>
        <w:rPr>
          <w:rFonts w:ascii="Times New Roman" w:hAnsi="Times New Roman" w:cs="Times New Roman"/>
          <w:noProof/>
          <w:sz w:val="24"/>
          <w:szCs w:val="24"/>
        </w:rPr>
        <w:tab/>
      </w:r>
      <w:r w:rsidR="00872C30">
        <w:rPr>
          <w:rFonts w:ascii="Times New Roman" w:hAnsi="Times New Roman" w:cs="Times New Roman"/>
          <w:noProof/>
          <w:sz w:val="24"/>
          <w:szCs w:val="24"/>
        </w:rPr>
        <w:t>2</w:t>
      </w:r>
      <w:r w:rsidR="00063A47" w:rsidRPr="00292B61">
        <w:rPr>
          <w:rFonts w:ascii="Times New Roman" w:hAnsi="Times New Roman" w:cs="Times New Roman"/>
          <w:noProof/>
          <w:sz w:val="24"/>
          <w:szCs w:val="24"/>
        </w:rPr>
        <w:t xml:space="preserve"> </w:t>
      </w:r>
      <w:r w:rsidR="00063A47" w:rsidRPr="00292B61">
        <w:rPr>
          <w:rFonts w:ascii="Times New Roman" w:hAnsi="Times New Roman" w:cs="Times New Roman"/>
          <w:noProof/>
          <w:sz w:val="24"/>
          <w:szCs w:val="24"/>
        </w:rPr>
        <w:tab/>
        <w:t>Ozen S, Ruperto N, Dillon MJ</w:t>
      </w:r>
      <w:r w:rsidR="0057485B">
        <w:rPr>
          <w:rFonts w:ascii="Times New Roman" w:hAnsi="Times New Roman" w:cs="Times New Roman"/>
          <w:noProof/>
          <w:sz w:val="24"/>
          <w:szCs w:val="24"/>
        </w:rPr>
        <w:t xml:space="preserve">, </w:t>
      </w:r>
      <w:r w:rsidR="0057485B" w:rsidRPr="0057485B">
        <w:rPr>
          <w:rFonts w:ascii="Times New Roman" w:hAnsi="Times New Roman" w:cs="Times New Roman"/>
          <w:i/>
          <w:noProof/>
          <w:sz w:val="24"/>
          <w:szCs w:val="24"/>
        </w:rPr>
        <w:t>et al</w:t>
      </w:r>
      <w:r w:rsidR="00063A47" w:rsidRPr="00292B61">
        <w:rPr>
          <w:rFonts w:ascii="Times New Roman" w:hAnsi="Times New Roman" w:cs="Times New Roman"/>
          <w:noProof/>
          <w:sz w:val="24"/>
          <w:szCs w:val="24"/>
        </w:rPr>
        <w:t xml:space="preserve">. EULAR/PReS endorsed consensus criteria for the classification of childhood vasculitides. </w:t>
      </w:r>
      <w:r w:rsidR="00063A47" w:rsidRPr="00292B61">
        <w:rPr>
          <w:rFonts w:ascii="Times New Roman" w:hAnsi="Times New Roman" w:cs="Times New Roman"/>
          <w:i/>
          <w:noProof/>
          <w:sz w:val="24"/>
          <w:szCs w:val="24"/>
        </w:rPr>
        <w:t>Ann Rheum Dis</w:t>
      </w:r>
      <w:r w:rsidR="00063A47" w:rsidRPr="00292B61">
        <w:rPr>
          <w:rFonts w:ascii="Times New Roman" w:hAnsi="Times New Roman" w:cs="Times New Roman"/>
          <w:noProof/>
          <w:sz w:val="24"/>
          <w:szCs w:val="24"/>
        </w:rPr>
        <w:t xml:space="preserve"> 2006;65:936-41.</w:t>
      </w:r>
    </w:p>
    <w:p w14:paraId="31E6427E" w14:textId="77777777" w:rsidR="00A05238" w:rsidRDefault="00A05238" w:rsidP="00074A28">
      <w:pPr>
        <w:tabs>
          <w:tab w:val="right" w:pos="540"/>
          <w:tab w:val="left" w:pos="720"/>
        </w:tabs>
        <w:spacing w:after="0" w:line="480" w:lineRule="auto"/>
        <w:ind w:left="720" w:hanging="720"/>
        <w:rPr>
          <w:rFonts w:ascii="Times New Roman" w:hAnsi="Times New Roman" w:cs="Times New Roman"/>
          <w:noProof/>
          <w:sz w:val="24"/>
          <w:szCs w:val="24"/>
        </w:rPr>
      </w:pPr>
    </w:p>
    <w:p w14:paraId="510A916A" w14:textId="65E75A22" w:rsidR="00054895" w:rsidRPr="000E622C" w:rsidRDefault="006C0B3D" w:rsidP="000E622C">
      <w:pPr>
        <w:pStyle w:val="EndNoteBibliography"/>
        <w:spacing w:after="240"/>
        <w:ind w:left="720" w:hanging="360"/>
      </w:pPr>
      <w:r>
        <w:t>3</w:t>
      </w:r>
      <w:r w:rsidRPr="001D5D05">
        <w:tab/>
      </w:r>
      <w:r>
        <w:t xml:space="preserve">National Cholesterol Education Program, </w:t>
      </w:r>
      <w:r w:rsidRPr="001D5D05">
        <w:t>National Heart</w:t>
      </w:r>
      <w:r>
        <w:t>,</w:t>
      </w:r>
      <w:r w:rsidRPr="001D5D05">
        <w:t xml:space="preserve"> Lung</w:t>
      </w:r>
      <w:r>
        <w:t>,</w:t>
      </w:r>
      <w:r w:rsidRPr="001D5D05">
        <w:t xml:space="preserve"> and Blood Institute</w:t>
      </w:r>
      <w:r>
        <w:t>, National Institutes of Health</w:t>
      </w:r>
      <w:r w:rsidRPr="001D5D05">
        <w:t xml:space="preserve">. </w:t>
      </w:r>
      <w:r>
        <w:t xml:space="preserve">Third report of the National Cholesterol Education Program (NCEP) Expert panel on </w:t>
      </w:r>
      <w:r w:rsidRPr="00904C23">
        <w:t xml:space="preserve">detection, evaluation, and treatment of high blood cholesterol in adults (Adult Treatment Panel III) final report. </w:t>
      </w:r>
      <w:r w:rsidRPr="00E81CCD">
        <w:t xml:space="preserve"> </w:t>
      </w:r>
      <w:r w:rsidRPr="001D5D05">
        <w:t>NIH Publication No. 02-5215</w:t>
      </w:r>
      <w:r w:rsidR="00E10F7D">
        <w:t>; 2002.</w:t>
      </w:r>
      <w:r>
        <w:t xml:space="preserve"> </w:t>
      </w:r>
      <w:r w:rsidRPr="00256424">
        <w:t xml:space="preserve"> </w:t>
      </w:r>
      <w:r w:rsidRPr="00904C23">
        <w:t>https://www.nhlbi.nih.gov/sites/www.nhlbi.nih.gov/files/Circulation-2002-ATP-III-Final-Report-PDF-3143.pdf</w:t>
      </w:r>
      <w:r>
        <w:t>. Accessed August 31, 2017.</w:t>
      </w:r>
    </w:p>
    <w:sectPr w:rsidR="00054895" w:rsidRPr="000E622C" w:rsidSect="00CD69D4">
      <w:headerReference w:type="even" r:id="rId10"/>
      <w:headerReference w:type="default" r:id="rId11"/>
      <w:footerReference w:type="default" r:id="rId12"/>
      <w:head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3319D8" w14:textId="77777777" w:rsidR="00E05438" w:rsidRDefault="00E05438" w:rsidP="000F4C8D">
      <w:pPr>
        <w:spacing w:after="0" w:line="240" w:lineRule="auto"/>
      </w:pPr>
      <w:r>
        <w:separator/>
      </w:r>
    </w:p>
  </w:endnote>
  <w:endnote w:type="continuationSeparator" w:id="0">
    <w:p w14:paraId="09969A52" w14:textId="77777777" w:rsidR="00E05438" w:rsidRDefault="00E05438" w:rsidP="000F4C8D">
      <w:pPr>
        <w:spacing w:after="0" w:line="240" w:lineRule="auto"/>
      </w:pPr>
      <w:r>
        <w:continuationSeparator/>
      </w:r>
    </w:p>
  </w:endnote>
  <w:endnote w:type="continuationNotice" w:id="1">
    <w:p w14:paraId="462B2F8E" w14:textId="77777777" w:rsidR="00E05438" w:rsidRDefault="00E0543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6900591"/>
      <w:docPartObj>
        <w:docPartGallery w:val="Page Numbers (Bottom of Page)"/>
        <w:docPartUnique/>
      </w:docPartObj>
    </w:sdtPr>
    <w:sdtEndPr>
      <w:rPr>
        <w:noProof/>
      </w:rPr>
    </w:sdtEndPr>
    <w:sdtContent>
      <w:p w14:paraId="10810DDD" w14:textId="44B228D9" w:rsidR="00E3384A" w:rsidRDefault="00E3384A">
        <w:pPr>
          <w:pStyle w:val="ae"/>
          <w:jc w:val="center"/>
        </w:pPr>
        <w:r>
          <w:fldChar w:fldCharType="begin"/>
        </w:r>
        <w:r>
          <w:instrText xml:space="preserve"> PAGE   \* MERGEFORMAT </w:instrText>
        </w:r>
        <w:r>
          <w:fldChar w:fldCharType="separate"/>
        </w:r>
        <w:r w:rsidR="00023712">
          <w:rPr>
            <w:noProof/>
          </w:rPr>
          <w:t>9</w:t>
        </w:r>
        <w:r>
          <w:rPr>
            <w:noProof/>
          </w:rPr>
          <w:fldChar w:fldCharType="end"/>
        </w:r>
      </w:p>
    </w:sdtContent>
  </w:sdt>
  <w:p w14:paraId="1AA00315" w14:textId="77777777" w:rsidR="00E3384A" w:rsidRDefault="00E3384A">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1731363"/>
      <w:docPartObj>
        <w:docPartGallery w:val="Page Numbers (Bottom of Page)"/>
        <w:docPartUnique/>
      </w:docPartObj>
    </w:sdtPr>
    <w:sdtEndPr>
      <w:rPr>
        <w:noProof/>
      </w:rPr>
    </w:sdtEndPr>
    <w:sdtContent>
      <w:p w14:paraId="3F0E61FA" w14:textId="05ABC9E9" w:rsidR="00E3384A" w:rsidRDefault="00E3384A">
        <w:pPr>
          <w:pStyle w:val="ae"/>
          <w:jc w:val="center"/>
        </w:pPr>
        <w:r>
          <w:fldChar w:fldCharType="begin"/>
        </w:r>
        <w:r>
          <w:instrText xml:space="preserve"> PAGE   \* MERGEFORMAT </w:instrText>
        </w:r>
        <w:r>
          <w:fldChar w:fldCharType="separate"/>
        </w:r>
        <w:r w:rsidR="00023712">
          <w:rPr>
            <w:noProof/>
          </w:rPr>
          <w:t>10</w:t>
        </w:r>
        <w:r>
          <w:rPr>
            <w:noProof/>
          </w:rPr>
          <w:fldChar w:fldCharType="end"/>
        </w:r>
      </w:p>
    </w:sdtContent>
  </w:sdt>
  <w:p w14:paraId="25D187AB" w14:textId="77777777" w:rsidR="00E3384A" w:rsidRDefault="00E3384A">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39F181" w14:textId="77777777" w:rsidR="00E05438" w:rsidRDefault="00E05438" w:rsidP="000F4C8D">
      <w:pPr>
        <w:spacing w:after="0" w:line="240" w:lineRule="auto"/>
      </w:pPr>
      <w:r>
        <w:separator/>
      </w:r>
    </w:p>
  </w:footnote>
  <w:footnote w:type="continuationSeparator" w:id="0">
    <w:p w14:paraId="3D4EDA23" w14:textId="77777777" w:rsidR="00E05438" w:rsidRDefault="00E05438" w:rsidP="000F4C8D">
      <w:pPr>
        <w:spacing w:after="0" w:line="240" w:lineRule="auto"/>
      </w:pPr>
      <w:r>
        <w:continuationSeparator/>
      </w:r>
    </w:p>
  </w:footnote>
  <w:footnote w:type="continuationNotice" w:id="1">
    <w:p w14:paraId="1DFDD3D5" w14:textId="77777777" w:rsidR="00E05438" w:rsidRDefault="00E05438">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6F00AA" w14:textId="273B5FF5" w:rsidR="00E3384A" w:rsidRDefault="00E3384A">
    <w:pPr>
      <w:pStyle w:val="ac"/>
    </w:pPr>
    <w:r>
      <w:rPr>
        <w:noProof/>
        <w:lang w:val="en-US" w:eastAsia="ja-JP"/>
      </w:rPr>
      <mc:AlternateContent>
        <mc:Choice Requires="wps">
          <w:drawing>
            <wp:anchor distT="0" distB="0" distL="114300" distR="114300" simplePos="0" relativeHeight="251666432" behindDoc="1" locked="0" layoutInCell="0" allowOverlap="1" wp14:anchorId="201929DF" wp14:editId="79B170A5">
              <wp:simplePos x="0" y="0"/>
              <wp:positionH relativeFrom="margin">
                <wp:align>center</wp:align>
              </wp:positionH>
              <wp:positionV relativeFrom="margin">
                <wp:align>center</wp:align>
              </wp:positionV>
              <wp:extent cx="6349365" cy="1731645"/>
              <wp:effectExtent l="0" t="1866900" r="0" b="1592580"/>
              <wp:wrapNone/>
              <wp:docPr id="7"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49365" cy="17316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382B21F" w14:textId="77777777" w:rsidR="00E3384A" w:rsidRDefault="00E3384A" w:rsidP="00290B40">
                          <w:pPr>
                            <w:pStyle w:v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Not yet edited</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01929DF" id="_x0000_t202" coordsize="21600,21600" o:spt="202" path="m,l,21600r21600,l21600,xe">
              <v:stroke joinstyle="miter"/>
              <v:path gradientshapeok="t" o:connecttype="rect"/>
            </v:shapetype>
            <v:shape id="WordArt 5" o:spid="_x0000_s1026" type="#_x0000_t202" style="position:absolute;margin-left:0;margin-top:0;width:499.95pt;height:136.35pt;rotation:-45;z-index:-25165004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" o:allowincell="f" filled="f" stroked="f">
              <v:stroke joinstyle="round"/>
              <o:lock v:ext="edit" shapetype="t"/>
              <v:textbox style="mso-fit-shape-to-text:t">
                <w:txbxContent>
                  <w:p w14:paraId="4382B21F" w14:textId="77777777" w:rsidR="00E3384A" w:rsidRDefault="00E3384A" w:rsidP="00290B40">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Not yet edited</w:t>
                    </w:r>
                  </w:p>
                </w:txbxContent>
              </v:textbox>
              <w10:wrap anchorx="margin" anchory="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D10801" w14:textId="6B30B8FF" w:rsidR="00E3384A" w:rsidRDefault="00E3384A">
    <w:pPr>
      <w:pStyle w:val="ac"/>
    </w:pPr>
    <w:r>
      <w:rPr>
        <w:noProof/>
        <w:lang w:val="en-US" w:eastAsia="ja-JP"/>
      </w:rPr>
      <mc:AlternateContent>
        <mc:Choice Requires="wps">
          <w:drawing>
            <wp:anchor distT="0" distB="0" distL="114300" distR="114300" simplePos="0" relativeHeight="251667456" behindDoc="1" locked="0" layoutInCell="0" allowOverlap="1" wp14:anchorId="006819E5" wp14:editId="7692721D">
              <wp:simplePos x="0" y="0"/>
              <wp:positionH relativeFrom="margin">
                <wp:align>center</wp:align>
              </wp:positionH>
              <wp:positionV relativeFrom="margin">
                <wp:align>center</wp:align>
              </wp:positionV>
              <wp:extent cx="6349365" cy="1731645"/>
              <wp:effectExtent l="0" t="1866900" r="0" b="1592580"/>
              <wp:wrapNone/>
              <wp:docPr id="6"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49365" cy="17316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FF67DB3" w14:textId="77777777" w:rsidR="00E3384A" w:rsidRDefault="00E3384A" w:rsidP="00290B40">
                          <w:pPr>
                            <w:pStyle w:v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Not yet edited</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06819E5" id="_x0000_t202" coordsize="21600,21600" o:spt="202" path="m,l,21600r21600,l21600,xe">
              <v:stroke joinstyle="miter"/>
              <v:path gradientshapeok="t" o:connecttype="rect"/>
            </v:shapetype>
            <v:shape id="WordArt 6" o:spid="_x0000_s1027" type="#_x0000_t202" style="position:absolute;margin-left:0;margin-top:0;width:499.95pt;height:136.35pt;rotation:-45;z-index:-25164902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" o:allowincell="f" filled="f" stroked="f">
              <v:stroke joinstyle="round"/>
              <o:lock v:ext="edit" shapetype="t"/>
              <v:textbox style="mso-fit-shape-to-text:t">
                <w:txbxContent>
                  <w:p w14:paraId="4FF67DB3" w14:textId="77777777" w:rsidR="00E3384A" w:rsidRDefault="00E3384A" w:rsidP="00290B40">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Not yet edited</w:t>
                    </w:r>
                  </w:p>
                </w:txbxContent>
              </v:textbox>
              <w10:wrap anchorx="margin" anchory="margin"/>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087450" w14:textId="6A56858D" w:rsidR="00E3384A" w:rsidRDefault="00E3384A">
    <w:pPr>
      <w:pStyle w:val="ac"/>
    </w:pPr>
    <w:r>
      <w:rPr>
        <w:noProof/>
        <w:lang w:val="en-US" w:eastAsia="ja-JP"/>
      </w:rPr>
      <mc:AlternateContent>
        <mc:Choice Requires="wps">
          <w:drawing>
            <wp:anchor distT="0" distB="0" distL="114300" distR="114300" simplePos="0" relativeHeight="251665408" behindDoc="1" locked="0" layoutInCell="0" allowOverlap="1" wp14:anchorId="34B61D6A" wp14:editId="54CD7D8E">
              <wp:simplePos x="0" y="0"/>
              <wp:positionH relativeFrom="margin">
                <wp:align>center</wp:align>
              </wp:positionH>
              <wp:positionV relativeFrom="margin">
                <wp:align>center</wp:align>
              </wp:positionV>
              <wp:extent cx="6349365" cy="1731645"/>
              <wp:effectExtent l="0" t="1866900" r="0" b="1592580"/>
              <wp:wrapNone/>
              <wp:docPr id="4"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49365" cy="17316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D134AC7" w14:textId="77777777" w:rsidR="00E3384A" w:rsidRDefault="00E3384A" w:rsidP="00290B40">
                          <w:pPr>
                            <w:pStyle w:v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Not yet edited</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4B61D6A" id="_x0000_t202" coordsize="21600,21600" o:spt="202" path="m,l,21600r21600,l21600,xe">
              <v:stroke joinstyle="miter"/>
              <v:path gradientshapeok="t" o:connecttype="rect"/>
            </v:shapetype>
            <v:shape id="WordArt 4" o:spid="_x0000_s1028" type="#_x0000_t202" style="position:absolute;margin-left:0;margin-top:0;width:499.95pt;height:136.35pt;rotation:-45;z-index:-25165107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" o:allowincell="f" filled="f" stroked="f">
              <v:stroke joinstyle="round"/>
              <o:lock v:ext="edit" shapetype="t"/>
              <v:textbox style="mso-fit-shape-to-text:t">
                <w:txbxContent>
                  <w:p w14:paraId="1D134AC7" w14:textId="77777777" w:rsidR="00E3384A" w:rsidRDefault="00E3384A" w:rsidP="00290B40">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Not yet edited</w:t>
                    </w:r>
                  </w:p>
                </w:txbxContent>
              </v:textbox>
              <w10:wrap anchorx="margin" anchory="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2404A"/>
    <w:multiLevelType w:val="hybridMultilevel"/>
    <w:tmpl w:val="405090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787782"/>
    <w:multiLevelType w:val="hybridMultilevel"/>
    <w:tmpl w:val="09380714"/>
    <w:lvl w:ilvl="0" w:tplc="1409000F">
      <w:start w:val="1"/>
      <w:numFmt w:val="decimal"/>
      <w:lvlText w:val="%1."/>
      <w:lvlJc w:val="left"/>
      <w:pPr>
        <w:ind w:left="720" w:hanging="360"/>
      </w:pPr>
    </w:lvl>
    <w:lvl w:ilvl="1" w:tplc="066E14CE">
      <w:start w:val="1"/>
      <w:numFmt w:val="lowerLetter"/>
      <w:lvlText w:val="%2."/>
      <w:lvlJc w:val="left"/>
      <w:pPr>
        <w:ind w:left="1440" w:hanging="360"/>
      </w:pPr>
      <w:rPr>
        <w:color w:val="auto"/>
      </w:r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0DAF2E37"/>
    <w:multiLevelType w:val="hybridMultilevel"/>
    <w:tmpl w:val="E36E93DA"/>
    <w:lvl w:ilvl="0" w:tplc="7FBCE99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E626773"/>
    <w:multiLevelType w:val="hybridMultilevel"/>
    <w:tmpl w:val="F19EE60C"/>
    <w:lvl w:ilvl="0" w:tplc="0409000F">
      <w:start w:val="1"/>
      <w:numFmt w:val="decimal"/>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4" w15:restartNumberingAfterBreak="0">
    <w:nsid w:val="13891573"/>
    <w:multiLevelType w:val="hybridMultilevel"/>
    <w:tmpl w:val="11AEC79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9B56FA8"/>
    <w:multiLevelType w:val="hybridMultilevel"/>
    <w:tmpl w:val="95B845CE"/>
    <w:lvl w:ilvl="0" w:tplc="1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85639D"/>
    <w:multiLevelType w:val="hybridMultilevel"/>
    <w:tmpl w:val="77B276A0"/>
    <w:lvl w:ilvl="0" w:tplc="1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E156B3"/>
    <w:multiLevelType w:val="hybridMultilevel"/>
    <w:tmpl w:val="9C32D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1F3EF2"/>
    <w:multiLevelType w:val="hybridMultilevel"/>
    <w:tmpl w:val="090C4BFA"/>
    <w:lvl w:ilvl="0" w:tplc="1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BE670E"/>
    <w:multiLevelType w:val="hybridMultilevel"/>
    <w:tmpl w:val="C6B8292C"/>
    <w:lvl w:ilvl="0" w:tplc="1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FD096D"/>
    <w:multiLevelType w:val="singleLevel"/>
    <w:tmpl w:val="9058F8AC"/>
    <w:lvl w:ilvl="0">
      <w:start w:val="1"/>
      <w:numFmt w:val="decimal"/>
      <w:pStyle w:val="TextRef"/>
      <w:lvlText w:val="%1)"/>
      <w:lvlJc w:val="left"/>
      <w:pPr>
        <w:tabs>
          <w:tab w:val="num" w:pos="0"/>
        </w:tabs>
        <w:ind w:left="425" w:hanging="425"/>
      </w:pPr>
      <w:rPr>
        <w:rFonts w:ascii="ＭＳ 明朝" w:eastAsia="ＭＳ 明朝" w:hAnsi="ＭＳ 明朝" w:hint="eastAsia"/>
        <w:sz w:val="21"/>
      </w:rPr>
    </w:lvl>
  </w:abstractNum>
  <w:abstractNum w:abstractNumId="11" w15:restartNumberingAfterBreak="0">
    <w:nsid w:val="27162F37"/>
    <w:multiLevelType w:val="hybridMultilevel"/>
    <w:tmpl w:val="23246810"/>
    <w:lvl w:ilvl="0" w:tplc="EDC66C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F464D2D"/>
    <w:multiLevelType w:val="hybridMultilevel"/>
    <w:tmpl w:val="1206D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2C5F72"/>
    <w:multiLevelType w:val="hybridMultilevel"/>
    <w:tmpl w:val="B34CDC8E"/>
    <w:lvl w:ilvl="0" w:tplc="1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1C4F5D"/>
    <w:multiLevelType w:val="hybridMultilevel"/>
    <w:tmpl w:val="B14E94FE"/>
    <w:lvl w:ilvl="0" w:tplc="1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8669A1"/>
    <w:multiLevelType w:val="hybridMultilevel"/>
    <w:tmpl w:val="1A8604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F0F45E2"/>
    <w:multiLevelType w:val="hybridMultilevel"/>
    <w:tmpl w:val="F19EE60C"/>
    <w:lvl w:ilvl="0" w:tplc="0409000F">
      <w:start w:val="1"/>
      <w:numFmt w:val="decimal"/>
      <w:lvlText w:val="%1."/>
      <w:lvlJc w:val="left"/>
      <w:pPr>
        <w:ind w:left="1494" w:hanging="360"/>
      </w:pPr>
    </w:lvl>
    <w:lvl w:ilvl="1" w:tplc="04090019">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7" w15:restartNumberingAfterBreak="0">
    <w:nsid w:val="53C45278"/>
    <w:multiLevelType w:val="hybridMultilevel"/>
    <w:tmpl w:val="34CCFEA0"/>
    <w:lvl w:ilvl="0" w:tplc="1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B56CAC"/>
    <w:multiLevelType w:val="hybridMultilevel"/>
    <w:tmpl w:val="99164782"/>
    <w:lvl w:ilvl="0" w:tplc="1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2EC3664"/>
    <w:multiLevelType w:val="hybridMultilevel"/>
    <w:tmpl w:val="D65AC6B8"/>
    <w:lvl w:ilvl="0" w:tplc="1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723040E"/>
    <w:multiLevelType w:val="multilevel"/>
    <w:tmpl w:val="DA0E0E8A"/>
    <w:lvl w:ilvl="0">
      <w:start w:val="1"/>
      <w:numFmt w:val="decimal"/>
      <w:pStyle w:val="1"/>
      <w:lvlText w:val="%1."/>
      <w:lvlJc w:val="left"/>
      <w:pPr>
        <w:tabs>
          <w:tab w:val="num" w:pos="1134"/>
        </w:tabs>
        <w:ind w:left="1134" w:hanging="1134"/>
      </w:pPr>
      <w:rPr>
        <w:rFonts w:ascii="Arial" w:eastAsia="ＭＳ ゴシック" w:hAnsi="Arial" w:cs="Arial" w:hint="eastAsia"/>
        <w:b/>
        <w:i w:val="0"/>
        <w:color w:val="auto"/>
        <w:sz w:val="28"/>
        <w:szCs w:val="24"/>
        <w:u w:val="none"/>
        <w:vertAlign w:val="baseline"/>
      </w:rPr>
    </w:lvl>
    <w:lvl w:ilvl="1">
      <w:start w:val="1"/>
      <w:numFmt w:val="decimal"/>
      <w:pStyle w:val="2"/>
      <w:lvlText w:val="%1.%2"/>
      <w:lvlJc w:val="left"/>
      <w:pPr>
        <w:tabs>
          <w:tab w:val="num" w:pos="1134"/>
        </w:tabs>
        <w:ind w:left="1134" w:hanging="1134"/>
      </w:pPr>
      <w:rPr>
        <w:rFonts w:ascii="Arial" w:eastAsia="ＭＳ ゴシック" w:hAnsi="Arial" w:cs="Arial" w:hint="eastAsia"/>
        <w:b/>
        <w:i w:val="0"/>
        <w:color w:val="auto"/>
        <w:sz w:val="26"/>
        <w:u w:val="none"/>
        <w:vertAlign w:val="baseline"/>
      </w:rPr>
    </w:lvl>
    <w:lvl w:ilvl="2">
      <w:start w:val="1"/>
      <w:numFmt w:val="decimal"/>
      <w:pStyle w:val="3"/>
      <w:lvlText w:val="%1.%2.%3"/>
      <w:lvlJc w:val="left"/>
      <w:pPr>
        <w:tabs>
          <w:tab w:val="num" w:pos="1134"/>
        </w:tabs>
        <w:ind w:left="1134" w:hanging="1134"/>
      </w:pPr>
      <w:rPr>
        <w:rFonts w:ascii="Arial" w:eastAsia="ＭＳ ゴシック" w:hAnsi="Arial" w:cs="Arial" w:hint="eastAsia"/>
        <w:b/>
        <w:i w:val="0"/>
        <w:color w:val="auto"/>
        <w:sz w:val="24"/>
        <w:u w:val="none"/>
        <w:vertAlign w:val="baseline"/>
      </w:rPr>
    </w:lvl>
    <w:lvl w:ilvl="3">
      <w:start w:val="1"/>
      <w:numFmt w:val="decimal"/>
      <w:pStyle w:val="4"/>
      <w:lvlText w:val="%1.%2.%3.%4"/>
      <w:lvlJc w:val="left"/>
      <w:pPr>
        <w:tabs>
          <w:tab w:val="num" w:pos="1134"/>
        </w:tabs>
        <w:ind w:left="1134" w:hanging="1134"/>
      </w:pPr>
      <w:rPr>
        <w:rFonts w:ascii="Arial" w:eastAsia="ＭＳ ゴシック" w:hAnsi="Arial" w:cs="Arial" w:hint="eastAsia"/>
        <w:b/>
        <w:i/>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TextNum"/>
      <w:lvlText w:val="%5."/>
      <w:lvlJc w:val="left"/>
      <w:pPr>
        <w:tabs>
          <w:tab w:val="num" w:pos="425"/>
        </w:tabs>
        <w:ind w:left="425" w:hanging="425"/>
      </w:pPr>
      <w:rPr>
        <w:rFonts w:ascii="Times New Roman" w:hAnsi="Times New Roman" w:cs="Times New Roman" w:hint="eastAsia"/>
        <w:b w:val="0"/>
        <w:i w:val="0"/>
        <w:color w:val="auto"/>
        <w:sz w:val="24"/>
      </w:rPr>
    </w:lvl>
    <w:lvl w:ilvl="5">
      <w:start w:val="1"/>
      <w:numFmt w:val="lowerLetter"/>
      <w:pStyle w:val="TextAlphaNum"/>
      <w:lvlText w:val="%6."/>
      <w:lvlJc w:val="left"/>
      <w:pPr>
        <w:tabs>
          <w:tab w:val="num" w:pos="300"/>
        </w:tabs>
        <w:ind w:left="425" w:hanging="85"/>
      </w:pPr>
      <w:rPr>
        <w:rFonts w:ascii="Times New Roman" w:hAnsi="Times New Roman" w:cs="Times New Roman" w:hint="eastAsia"/>
        <w:b w:val="0"/>
        <w:i w:val="0"/>
        <w:color w:val="auto"/>
        <w:sz w:val="24"/>
      </w:rPr>
    </w:lvl>
    <w:lvl w:ilvl="6">
      <w:start w:val="1"/>
      <w:numFmt w:val="lowerRoman"/>
      <w:pStyle w:val="TextRomaNum"/>
      <w:lvlText w:val="%7."/>
      <w:lvlJc w:val="left"/>
      <w:pPr>
        <w:tabs>
          <w:tab w:val="num" w:pos="2665"/>
        </w:tabs>
        <w:ind w:left="2608" w:hanging="1928"/>
      </w:pPr>
      <w:rPr>
        <w:rFonts w:ascii="Times New Roman" w:hAnsi="Times New Roman" w:cs="Times New Roman" w:hint="eastAsia"/>
        <w:b w:val="0"/>
        <w:i w:val="0"/>
        <w:color w:val="auto"/>
        <w:sz w:val="24"/>
      </w:rPr>
    </w:lvl>
    <w:lvl w:ilvl="7">
      <w:start w:val="1"/>
      <w:numFmt w:val="lowerLetter"/>
      <w:pStyle w:val="TextAlpha"/>
      <w:lvlText w:val="%8)"/>
      <w:lvlJc w:val="left"/>
      <w:pPr>
        <w:tabs>
          <w:tab w:val="num" w:pos="425"/>
        </w:tabs>
        <w:ind w:left="425" w:hanging="425"/>
      </w:pPr>
      <w:rPr>
        <w:rFonts w:ascii="Times New Roman" w:hAnsi="Times New Roman" w:cs="Times New Roman" w:hint="eastAsia"/>
        <w:b w:val="0"/>
        <w:i w:val="0"/>
        <w:color w:val="auto"/>
        <w:sz w:val="24"/>
      </w:rPr>
    </w:lvl>
    <w:lvl w:ilvl="8">
      <w:start w:val="1"/>
      <w:numFmt w:val="decimal"/>
      <w:pStyle w:val="9"/>
      <w:lvlText w:val="%1.%2.%3.%4.%5.%6.%7.%8.%9"/>
      <w:lvlJc w:val="left"/>
      <w:pPr>
        <w:tabs>
          <w:tab w:val="num" w:pos="1701"/>
        </w:tabs>
        <w:ind w:left="1701" w:hanging="1701"/>
      </w:pPr>
      <w:rPr>
        <w:rFonts w:ascii="Arial" w:hAnsi="Arial" w:cs="Arial" w:hint="eastAsia"/>
        <w:b/>
        <w:i/>
        <w:color w:val="auto"/>
        <w:sz w:val="24"/>
      </w:rPr>
    </w:lvl>
  </w:abstractNum>
  <w:abstractNum w:abstractNumId="21" w15:restartNumberingAfterBreak="0">
    <w:nsid w:val="72B44199"/>
    <w:multiLevelType w:val="hybridMultilevel"/>
    <w:tmpl w:val="8C482F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2B56BB9"/>
    <w:multiLevelType w:val="hybridMultilevel"/>
    <w:tmpl w:val="C8AC1498"/>
    <w:lvl w:ilvl="0" w:tplc="1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1"/>
  </w:num>
  <w:num w:numId="3">
    <w:abstractNumId w:val="15"/>
  </w:num>
  <w:num w:numId="4">
    <w:abstractNumId w:val="0"/>
  </w:num>
  <w:num w:numId="5">
    <w:abstractNumId w:val="14"/>
  </w:num>
  <w:num w:numId="6">
    <w:abstractNumId w:val="8"/>
  </w:num>
  <w:num w:numId="7">
    <w:abstractNumId w:val="13"/>
  </w:num>
  <w:num w:numId="8">
    <w:abstractNumId w:val="9"/>
  </w:num>
  <w:num w:numId="9">
    <w:abstractNumId w:val="6"/>
  </w:num>
  <w:num w:numId="10">
    <w:abstractNumId w:val="5"/>
  </w:num>
  <w:num w:numId="11">
    <w:abstractNumId w:val="17"/>
  </w:num>
  <w:num w:numId="12">
    <w:abstractNumId w:val="22"/>
  </w:num>
  <w:num w:numId="13">
    <w:abstractNumId w:val="19"/>
  </w:num>
  <w:num w:numId="14">
    <w:abstractNumId w:val="18"/>
  </w:num>
  <w:num w:numId="15">
    <w:abstractNumId w:val="10"/>
  </w:num>
  <w:num w:numId="16">
    <w:abstractNumId w:val="7"/>
  </w:num>
  <w:num w:numId="17">
    <w:abstractNumId w:val="12"/>
  </w:num>
  <w:num w:numId="18">
    <w:abstractNumId w:val="4"/>
  </w:num>
  <w:num w:numId="19">
    <w:abstractNumId w:val="3"/>
  </w:num>
  <w:num w:numId="20">
    <w:abstractNumId w:val="16"/>
  </w:num>
  <w:num w:numId="21">
    <w:abstractNumId w:val="11"/>
  </w:num>
  <w:num w:numId="22">
    <w:abstractNumId w:val="20"/>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6"/>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JAMA&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2&lt;/LineSpacing&gt;&lt;SpaceAfter&gt;1&lt;/SpaceAfter&gt;&lt;HyperlinksEnabled&gt;0&lt;/HyperlinksEnabled&gt;&lt;HyperlinksVisible&gt;0&lt;/HyperlinksVisible&gt;&lt;EnableBibliographyCategories&gt;0&lt;/EnableBibliographyCategories&gt;&lt;/ENLayout&gt;"/>
    <w:docVar w:name="EN.Libraries" w:val="&lt;Libraries&gt;&lt;item db-id=&quot;pwrp50aplderv2ezt58xzeelpdwdxwt95xp0&quot;&gt;HelpDesk@hhealth.com&lt;record-ids&gt;&lt;item&gt;36859&lt;/item&gt;&lt;item&gt;42057&lt;/item&gt;&lt;item&gt;42059&lt;/item&gt;&lt;item&gt;54317&lt;/item&gt;&lt;item&gt;63154&lt;/item&gt;&lt;item&gt;63240&lt;/item&gt;&lt;item&gt;64990&lt;/item&gt;&lt;item&gt;70472&lt;/item&gt;&lt;item&gt;70497&lt;/item&gt;&lt;item&gt;70622&lt;/item&gt;&lt;item&gt;70623&lt;/item&gt;&lt;item&gt;70779&lt;/item&gt;&lt;item&gt;70780&lt;/item&gt;&lt;item&gt;70977&lt;/item&gt;&lt;item&gt;70978&lt;/item&gt;&lt;item&gt;70979&lt;/item&gt;&lt;item&gt;70980&lt;/item&gt;&lt;item&gt;70981&lt;/item&gt;&lt;item&gt;70982&lt;/item&gt;&lt;item&gt;70983&lt;/item&gt;&lt;item&gt;70985&lt;/item&gt;&lt;item&gt;70986&lt;/item&gt;&lt;item&gt;70988&lt;/item&gt;&lt;item&gt;70990&lt;/item&gt;&lt;item&gt;70991&lt;/item&gt;&lt;item&gt;70992&lt;/item&gt;&lt;item&gt;70993&lt;/item&gt;&lt;item&gt;70994&lt;/item&gt;&lt;item&gt;71050&lt;/item&gt;&lt;item&gt;71051&lt;/item&gt;&lt;item&gt;71123&lt;/item&gt;&lt;item&gt;71124&lt;/item&gt;&lt;item&gt;71125&lt;/item&gt;&lt;item&gt;71126&lt;/item&gt;&lt;item&gt;71127&lt;/item&gt;&lt;item&gt;71989&lt;/item&gt;&lt;item&gt;72860&lt;/item&gt;&lt;item&gt;72861&lt;/item&gt;&lt;item&gt;77080&lt;/item&gt;&lt;/record-ids&gt;&lt;/item&gt;&lt;/Libraries&gt;"/>
    <w:docVar w:name="REFMGR.Layout" w:val="&lt;ENLayout&gt;&lt;Style&gt;K:\Departments\Library Services\Refman2\Refman Styles\Circulation.os&lt;/Style&gt;&lt;LeftDelim&gt;{&lt;/LeftDelim&gt;&lt;RightDelim&gt;}&lt;/RightDelim&gt;&lt;FontName&gt;Times New Roman&lt;/FontName&gt;&lt;FontSize&gt;12&lt;/FontSize&gt;&lt;ReflistTitle&gt;&lt;/ReflistTitle&gt;&lt;StartingRefnum&gt;1&lt;/StartingRefnum&gt;&lt;FirstLineIndent&gt;0&lt;/FirstLineIndent&gt;&lt;HangingIndent&gt;0&lt;/HangingIndent&gt;&lt;LineSpacing&gt;0&lt;/LineSpacing&gt;&lt;SpaceAfter&gt;1&lt;/SpaceAfter&gt;&lt;ReflistOrder&gt;0&lt;/ReflistOrder&gt;&lt;CitationOrder&gt;0&lt;/CitationOrder&gt;&lt;NumberReferences&gt;1&lt;/NumberReferences&gt;&lt;ShowRecordID&gt;0&lt;/ShowRecordID&gt;&lt;ShowNotes&gt;0&lt;/ShowNotes&gt;&lt;ShowAbstract&gt;0&lt;/ShowAbstract&gt;&lt;ShowReprint&gt;0&lt;/ShowReprint&gt;&lt;ShowKeywords&gt;0&lt;/ShowKeywords&gt;&lt;/ENLayout&gt;"/>
    <w:docVar w:name="REFMGR.Libraries" w:val="&lt;ENLibraries&gt;&lt;Libraries&gt;&lt;item&gt;APO12&lt;/item&gt;&lt;/Libraries&gt;&lt;/ENLibraries&gt;"/>
  </w:docVars>
  <w:rsids>
    <w:rsidRoot w:val="004A2964"/>
    <w:rsid w:val="00000794"/>
    <w:rsid w:val="00000A77"/>
    <w:rsid w:val="00001D05"/>
    <w:rsid w:val="0000256B"/>
    <w:rsid w:val="000028F0"/>
    <w:rsid w:val="00003550"/>
    <w:rsid w:val="00003780"/>
    <w:rsid w:val="0000567B"/>
    <w:rsid w:val="00006542"/>
    <w:rsid w:val="000072EE"/>
    <w:rsid w:val="00007BFB"/>
    <w:rsid w:val="000112A8"/>
    <w:rsid w:val="00012EF3"/>
    <w:rsid w:val="00014FB7"/>
    <w:rsid w:val="0001576E"/>
    <w:rsid w:val="00015801"/>
    <w:rsid w:val="000201E7"/>
    <w:rsid w:val="00020753"/>
    <w:rsid w:val="00020DBE"/>
    <w:rsid w:val="00021E1E"/>
    <w:rsid w:val="0002275E"/>
    <w:rsid w:val="00023712"/>
    <w:rsid w:val="00024694"/>
    <w:rsid w:val="000248A5"/>
    <w:rsid w:val="0002559D"/>
    <w:rsid w:val="00026BC9"/>
    <w:rsid w:val="00026E41"/>
    <w:rsid w:val="000335F0"/>
    <w:rsid w:val="000337D4"/>
    <w:rsid w:val="00033F10"/>
    <w:rsid w:val="0003427D"/>
    <w:rsid w:val="00035858"/>
    <w:rsid w:val="00036F8B"/>
    <w:rsid w:val="0003771D"/>
    <w:rsid w:val="00040A11"/>
    <w:rsid w:val="0004209E"/>
    <w:rsid w:val="00042E05"/>
    <w:rsid w:val="00043E3E"/>
    <w:rsid w:val="0004572B"/>
    <w:rsid w:val="00046D0B"/>
    <w:rsid w:val="00051AB3"/>
    <w:rsid w:val="00052236"/>
    <w:rsid w:val="00052827"/>
    <w:rsid w:val="00054895"/>
    <w:rsid w:val="00054C78"/>
    <w:rsid w:val="00054FA4"/>
    <w:rsid w:val="000555CD"/>
    <w:rsid w:val="00055B52"/>
    <w:rsid w:val="00056044"/>
    <w:rsid w:val="00057204"/>
    <w:rsid w:val="00057294"/>
    <w:rsid w:val="000572D2"/>
    <w:rsid w:val="00060647"/>
    <w:rsid w:val="0006101E"/>
    <w:rsid w:val="00061E1F"/>
    <w:rsid w:val="0006221A"/>
    <w:rsid w:val="00062400"/>
    <w:rsid w:val="00062ACC"/>
    <w:rsid w:val="0006335A"/>
    <w:rsid w:val="00063415"/>
    <w:rsid w:val="00063A47"/>
    <w:rsid w:val="00065121"/>
    <w:rsid w:val="000659E8"/>
    <w:rsid w:val="00066B79"/>
    <w:rsid w:val="00066BF4"/>
    <w:rsid w:val="0007075E"/>
    <w:rsid w:val="0007109D"/>
    <w:rsid w:val="000733A2"/>
    <w:rsid w:val="00073C6A"/>
    <w:rsid w:val="00074A28"/>
    <w:rsid w:val="00075CEF"/>
    <w:rsid w:val="00081679"/>
    <w:rsid w:val="000816DB"/>
    <w:rsid w:val="0008256D"/>
    <w:rsid w:val="00082E15"/>
    <w:rsid w:val="00082FCE"/>
    <w:rsid w:val="00086869"/>
    <w:rsid w:val="00087F07"/>
    <w:rsid w:val="000907D7"/>
    <w:rsid w:val="00091379"/>
    <w:rsid w:val="00091587"/>
    <w:rsid w:val="000915B3"/>
    <w:rsid w:val="00091949"/>
    <w:rsid w:val="00091E9B"/>
    <w:rsid w:val="00092D2F"/>
    <w:rsid w:val="00093C3C"/>
    <w:rsid w:val="00093EFF"/>
    <w:rsid w:val="0009576C"/>
    <w:rsid w:val="00096BD0"/>
    <w:rsid w:val="00097E70"/>
    <w:rsid w:val="000A090D"/>
    <w:rsid w:val="000A0A0A"/>
    <w:rsid w:val="000A12B2"/>
    <w:rsid w:val="000A140D"/>
    <w:rsid w:val="000A30CD"/>
    <w:rsid w:val="000A3860"/>
    <w:rsid w:val="000A4FE8"/>
    <w:rsid w:val="000A6B05"/>
    <w:rsid w:val="000B0EA9"/>
    <w:rsid w:val="000B2D09"/>
    <w:rsid w:val="000B3780"/>
    <w:rsid w:val="000B4100"/>
    <w:rsid w:val="000B72BB"/>
    <w:rsid w:val="000B7AA0"/>
    <w:rsid w:val="000B7E75"/>
    <w:rsid w:val="000C02F4"/>
    <w:rsid w:val="000C172A"/>
    <w:rsid w:val="000C24E4"/>
    <w:rsid w:val="000C35D9"/>
    <w:rsid w:val="000C3B29"/>
    <w:rsid w:val="000C52A5"/>
    <w:rsid w:val="000C6B74"/>
    <w:rsid w:val="000C6FD0"/>
    <w:rsid w:val="000C777C"/>
    <w:rsid w:val="000D4E9C"/>
    <w:rsid w:val="000D5597"/>
    <w:rsid w:val="000D6C84"/>
    <w:rsid w:val="000D6D36"/>
    <w:rsid w:val="000D7376"/>
    <w:rsid w:val="000D782D"/>
    <w:rsid w:val="000E032F"/>
    <w:rsid w:val="000E38F6"/>
    <w:rsid w:val="000E622C"/>
    <w:rsid w:val="000E6332"/>
    <w:rsid w:val="000E6D26"/>
    <w:rsid w:val="000F1C2F"/>
    <w:rsid w:val="000F471D"/>
    <w:rsid w:val="000F4C8D"/>
    <w:rsid w:val="000F4E06"/>
    <w:rsid w:val="000F5329"/>
    <w:rsid w:val="000F5C4A"/>
    <w:rsid w:val="000F5D43"/>
    <w:rsid w:val="000F7664"/>
    <w:rsid w:val="00100445"/>
    <w:rsid w:val="00101AFA"/>
    <w:rsid w:val="00103119"/>
    <w:rsid w:val="001039B8"/>
    <w:rsid w:val="00104863"/>
    <w:rsid w:val="001057CD"/>
    <w:rsid w:val="00105F29"/>
    <w:rsid w:val="00105FE8"/>
    <w:rsid w:val="00106287"/>
    <w:rsid w:val="00110A68"/>
    <w:rsid w:val="001139AE"/>
    <w:rsid w:val="00113A79"/>
    <w:rsid w:val="00115C5A"/>
    <w:rsid w:val="00116583"/>
    <w:rsid w:val="00117053"/>
    <w:rsid w:val="00117ABA"/>
    <w:rsid w:val="00120870"/>
    <w:rsid w:val="00121642"/>
    <w:rsid w:val="00122611"/>
    <w:rsid w:val="0012277F"/>
    <w:rsid w:val="00124075"/>
    <w:rsid w:val="0012491C"/>
    <w:rsid w:val="00124D2C"/>
    <w:rsid w:val="00125CC7"/>
    <w:rsid w:val="00127F1E"/>
    <w:rsid w:val="001302DB"/>
    <w:rsid w:val="0013128C"/>
    <w:rsid w:val="0013382D"/>
    <w:rsid w:val="001342EA"/>
    <w:rsid w:val="0013476B"/>
    <w:rsid w:val="00134EF5"/>
    <w:rsid w:val="0013597B"/>
    <w:rsid w:val="00137C62"/>
    <w:rsid w:val="00137DEB"/>
    <w:rsid w:val="00140734"/>
    <w:rsid w:val="00141D17"/>
    <w:rsid w:val="00141F66"/>
    <w:rsid w:val="001428A4"/>
    <w:rsid w:val="001436A7"/>
    <w:rsid w:val="001446AE"/>
    <w:rsid w:val="00144E46"/>
    <w:rsid w:val="00145EDD"/>
    <w:rsid w:val="001461DD"/>
    <w:rsid w:val="0014641D"/>
    <w:rsid w:val="00147465"/>
    <w:rsid w:val="00150DE7"/>
    <w:rsid w:val="00152E8A"/>
    <w:rsid w:val="00153B94"/>
    <w:rsid w:val="00154C2B"/>
    <w:rsid w:val="00156A87"/>
    <w:rsid w:val="00160168"/>
    <w:rsid w:val="00161DA6"/>
    <w:rsid w:val="001620FA"/>
    <w:rsid w:val="00163915"/>
    <w:rsid w:val="001654A8"/>
    <w:rsid w:val="00171F30"/>
    <w:rsid w:val="001726CE"/>
    <w:rsid w:val="0017314D"/>
    <w:rsid w:val="001738E7"/>
    <w:rsid w:val="00174C86"/>
    <w:rsid w:val="00176A36"/>
    <w:rsid w:val="0017738D"/>
    <w:rsid w:val="00177678"/>
    <w:rsid w:val="00180634"/>
    <w:rsid w:val="00181081"/>
    <w:rsid w:val="001820A8"/>
    <w:rsid w:val="0018327B"/>
    <w:rsid w:val="0018359F"/>
    <w:rsid w:val="0019196A"/>
    <w:rsid w:val="00191A29"/>
    <w:rsid w:val="0019271B"/>
    <w:rsid w:val="00194575"/>
    <w:rsid w:val="00197945"/>
    <w:rsid w:val="00197A0E"/>
    <w:rsid w:val="001A0976"/>
    <w:rsid w:val="001A1B7E"/>
    <w:rsid w:val="001A2277"/>
    <w:rsid w:val="001A3086"/>
    <w:rsid w:val="001A5D68"/>
    <w:rsid w:val="001A61AD"/>
    <w:rsid w:val="001B01E7"/>
    <w:rsid w:val="001B24C5"/>
    <w:rsid w:val="001B32B0"/>
    <w:rsid w:val="001B5875"/>
    <w:rsid w:val="001B5A69"/>
    <w:rsid w:val="001B61A5"/>
    <w:rsid w:val="001B6C08"/>
    <w:rsid w:val="001B6F55"/>
    <w:rsid w:val="001B7EDA"/>
    <w:rsid w:val="001C399F"/>
    <w:rsid w:val="001C4823"/>
    <w:rsid w:val="001C60A3"/>
    <w:rsid w:val="001C6222"/>
    <w:rsid w:val="001D0D65"/>
    <w:rsid w:val="001D22FA"/>
    <w:rsid w:val="001D3375"/>
    <w:rsid w:val="001D552A"/>
    <w:rsid w:val="001D5D05"/>
    <w:rsid w:val="001E00ED"/>
    <w:rsid w:val="001E0A44"/>
    <w:rsid w:val="001E11A8"/>
    <w:rsid w:val="001E21D3"/>
    <w:rsid w:val="001E77D7"/>
    <w:rsid w:val="001F0659"/>
    <w:rsid w:val="001F0B5B"/>
    <w:rsid w:val="001F253C"/>
    <w:rsid w:val="001F31C4"/>
    <w:rsid w:val="001F39FF"/>
    <w:rsid w:val="001F42DB"/>
    <w:rsid w:val="001F44C3"/>
    <w:rsid w:val="001F4A6A"/>
    <w:rsid w:val="001F5D7B"/>
    <w:rsid w:val="0020028E"/>
    <w:rsid w:val="00203CBE"/>
    <w:rsid w:val="00205A81"/>
    <w:rsid w:val="00206691"/>
    <w:rsid w:val="00206736"/>
    <w:rsid w:val="00206E5E"/>
    <w:rsid w:val="00207AC7"/>
    <w:rsid w:val="00207F47"/>
    <w:rsid w:val="00210127"/>
    <w:rsid w:val="00210309"/>
    <w:rsid w:val="002107A3"/>
    <w:rsid w:val="0021404D"/>
    <w:rsid w:val="00214755"/>
    <w:rsid w:val="002149D2"/>
    <w:rsid w:val="00216D0D"/>
    <w:rsid w:val="00216E9C"/>
    <w:rsid w:val="00220F95"/>
    <w:rsid w:val="002217D9"/>
    <w:rsid w:val="00224FEB"/>
    <w:rsid w:val="00225BE3"/>
    <w:rsid w:val="00226629"/>
    <w:rsid w:val="00230020"/>
    <w:rsid w:val="002305FA"/>
    <w:rsid w:val="00231D66"/>
    <w:rsid w:val="00231F16"/>
    <w:rsid w:val="00233EDA"/>
    <w:rsid w:val="00240F52"/>
    <w:rsid w:val="0024295C"/>
    <w:rsid w:val="00242C7D"/>
    <w:rsid w:val="00244006"/>
    <w:rsid w:val="002452A5"/>
    <w:rsid w:val="00245F16"/>
    <w:rsid w:val="00247BC9"/>
    <w:rsid w:val="002501D3"/>
    <w:rsid w:val="00250988"/>
    <w:rsid w:val="002522B5"/>
    <w:rsid w:val="00252850"/>
    <w:rsid w:val="00256424"/>
    <w:rsid w:val="00257C7A"/>
    <w:rsid w:val="00257C99"/>
    <w:rsid w:val="002605E6"/>
    <w:rsid w:val="00261B0F"/>
    <w:rsid w:val="00261ECD"/>
    <w:rsid w:val="002633B7"/>
    <w:rsid w:val="00263EF2"/>
    <w:rsid w:val="002645C4"/>
    <w:rsid w:val="002647D7"/>
    <w:rsid w:val="00264A1E"/>
    <w:rsid w:val="0026531E"/>
    <w:rsid w:val="00270A06"/>
    <w:rsid w:val="0027299B"/>
    <w:rsid w:val="002736E0"/>
    <w:rsid w:val="00273DAC"/>
    <w:rsid w:val="00274702"/>
    <w:rsid w:val="00274A16"/>
    <w:rsid w:val="002754F7"/>
    <w:rsid w:val="00275CBD"/>
    <w:rsid w:val="00277AA2"/>
    <w:rsid w:val="002826F3"/>
    <w:rsid w:val="0028324B"/>
    <w:rsid w:val="00283CBB"/>
    <w:rsid w:val="00284D7C"/>
    <w:rsid w:val="00285CBC"/>
    <w:rsid w:val="00286252"/>
    <w:rsid w:val="0028794A"/>
    <w:rsid w:val="00287F7E"/>
    <w:rsid w:val="00290B40"/>
    <w:rsid w:val="00291972"/>
    <w:rsid w:val="0029239B"/>
    <w:rsid w:val="00292B61"/>
    <w:rsid w:val="00292E1A"/>
    <w:rsid w:val="00294B80"/>
    <w:rsid w:val="00296466"/>
    <w:rsid w:val="002965E7"/>
    <w:rsid w:val="002967E2"/>
    <w:rsid w:val="002969D7"/>
    <w:rsid w:val="00296A99"/>
    <w:rsid w:val="00296D89"/>
    <w:rsid w:val="002A1EE5"/>
    <w:rsid w:val="002A269D"/>
    <w:rsid w:val="002A2A36"/>
    <w:rsid w:val="002A3AEC"/>
    <w:rsid w:val="002A4B62"/>
    <w:rsid w:val="002A58A9"/>
    <w:rsid w:val="002A6623"/>
    <w:rsid w:val="002A6AF9"/>
    <w:rsid w:val="002A6B8B"/>
    <w:rsid w:val="002B2BBD"/>
    <w:rsid w:val="002B74EC"/>
    <w:rsid w:val="002C0300"/>
    <w:rsid w:val="002C07DE"/>
    <w:rsid w:val="002C1581"/>
    <w:rsid w:val="002C1F9F"/>
    <w:rsid w:val="002C36A5"/>
    <w:rsid w:val="002C4F11"/>
    <w:rsid w:val="002C5349"/>
    <w:rsid w:val="002C6461"/>
    <w:rsid w:val="002D0172"/>
    <w:rsid w:val="002D129B"/>
    <w:rsid w:val="002D3447"/>
    <w:rsid w:val="002D4817"/>
    <w:rsid w:val="002D4F09"/>
    <w:rsid w:val="002D4F0C"/>
    <w:rsid w:val="002D50D7"/>
    <w:rsid w:val="002D50DA"/>
    <w:rsid w:val="002D68CD"/>
    <w:rsid w:val="002D76B7"/>
    <w:rsid w:val="002D7D1A"/>
    <w:rsid w:val="002E0706"/>
    <w:rsid w:val="002E1398"/>
    <w:rsid w:val="002E3C48"/>
    <w:rsid w:val="002E5A2A"/>
    <w:rsid w:val="002E79A1"/>
    <w:rsid w:val="002F0392"/>
    <w:rsid w:val="002F15C7"/>
    <w:rsid w:val="002F1EA3"/>
    <w:rsid w:val="002F28E2"/>
    <w:rsid w:val="002F43AC"/>
    <w:rsid w:val="002F4E81"/>
    <w:rsid w:val="002F7017"/>
    <w:rsid w:val="002F76DA"/>
    <w:rsid w:val="003001CE"/>
    <w:rsid w:val="003015B1"/>
    <w:rsid w:val="00301A99"/>
    <w:rsid w:val="00305BC4"/>
    <w:rsid w:val="003065EE"/>
    <w:rsid w:val="00306D86"/>
    <w:rsid w:val="0030711C"/>
    <w:rsid w:val="0031157A"/>
    <w:rsid w:val="00311928"/>
    <w:rsid w:val="003137F0"/>
    <w:rsid w:val="0031393E"/>
    <w:rsid w:val="00313A96"/>
    <w:rsid w:val="003152B2"/>
    <w:rsid w:val="003153CF"/>
    <w:rsid w:val="00315A43"/>
    <w:rsid w:val="00316111"/>
    <w:rsid w:val="0031646C"/>
    <w:rsid w:val="00316A2B"/>
    <w:rsid w:val="003231FE"/>
    <w:rsid w:val="003236C9"/>
    <w:rsid w:val="00325F99"/>
    <w:rsid w:val="00326112"/>
    <w:rsid w:val="0032752A"/>
    <w:rsid w:val="00327D7E"/>
    <w:rsid w:val="003312FD"/>
    <w:rsid w:val="00332660"/>
    <w:rsid w:val="00333D2D"/>
    <w:rsid w:val="00333EFA"/>
    <w:rsid w:val="00334A0C"/>
    <w:rsid w:val="00334CC4"/>
    <w:rsid w:val="00337158"/>
    <w:rsid w:val="00340FE9"/>
    <w:rsid w:val="00341937"/>
    <w:rsid w:val="003424A2"/>
    <w:rsid w:val="003424E3"/>
    <w:rsid w:val="00344143"/>
    <w:rsid w:val="00345927"/>
    <w:rsid w:val="0034673E"/>
    <w:rsid w:val="00346F93"/>
    <w:rsid w:val="00347027"/>
    <w:rsid w:val="00350617"/>
    <w:rsid w:val="00350CD0"/>
    <w:rsid w:val="00352087"/>
    <w:rsid w:val="00353289"/>
    <w:rsid w:val="003542C0"/>
    <w:rsid w:val="003554C5"/>
    <w:rsid w:val="003628D2"/>
    <w:rsid w:val="00372674"/>
    <w:rsid w:val="00372D3A"/>
    <w:rsid w:val="003750EB"/>
    <w:rsid w:val="003759DB"/>
    <w:rsid w:val="00377034"/>
    <w:rsid w:val="0038040A"/>
    <w:rsid w:val="00380D44"/>
    <w:rsid w:val="00382F12"/>
    <w:rsid w:val="00383917"/>
    <w:rsid w:val="00384456"/>
    <w:rsid w:val="003857E2"/>
    <w:rsid w:val="00385D8D"/>
    <w:rsid w:val="0038660C"/>
    <w:rsid w:val="0039063B"/>
    <w:rsid w:val="00390A94"/>
    <w:rsid w:val="00391A83"/>
    <w:rsid w:val="00391CF4"/>
    <w:rsid w:val="0039302A"/>
    <w:rsid w:val="003932A4"/>
    <w:rsid w:val="003936EE"/>
    <w:rsid w:val="00395294"/>
    <w:rsid w:val="00395BBF"/>
    <w:rsid w:val="00395EA2"/>
    <w:rsid w:val="003978BE"/>
    <w:rsid w:val="003A0B2B"/>
    <w:rsid w:val="003A2887"/>
    <w:rsid w:val="003A37BB"/>
    <w:rsid w:val="003A37E1"/>
    <w:rsid w:val="003A4A4E"/>
    <w:rsid w:val="003A550C"/>
    <w:rsid w:val="003A7624"/>
    <w:rsid w:val="003B090E"/>
    <w:rsid w:val="003B0A8D"/>
    <w:rsid w:val="003B1AC5"/>
    <w:rsid w:val="003B23B6"/>
    <w:rsid w:val="003B4155"/>
    <w:rsid w:val="003B480D"/>
    <w:rsid w:val="003B5C74"/>
    <w:rsid w:val="003B65AF"/>
    <w:rsid w:val="003B6B1C"/>
    <w:rsid w:val="003B6B8D"/>
    <w:rsid w:val="003B709D"/>
    <w:rsid w:val="003C0B4B"/>
    <w:rsid w:val="003C0E99"/>
    <w:rsid w:val="003C248C"/>
    <w:rsid w:val="003C2668"/>
    <w:rsid w:val="003C33D9"/>
    <w:rsid w:val="003C61F4"/>
    <w:rsid w:val="003C6EC2"/>
    <w:rsid w:val="003C7A6D"/>
    <w:rsid w:val="003C7F30"/>
    <w:rsid w:val="003D2C5F"/>
    <w:rsid w:val="003D40B8"/>
    <w:rsid w:val="003D4A05"/>
    <w:rsid w:val="003D4C77"/>
    <w:rsid w:val="003D524E"/>
    <w:rsid w:val="003D5254"/>
    <w:rsid w:val="003D532B"/>
    <w:rsid w:val="003D73A4"/>
    <w:rsid w:val="003E1A9E"/>
    <w:rsid w:val="003E3C30"/>
    <w:rsid w:val="003E3CEE"/>
    <w:rsid w:val="003E481F"/>
    <w:rsid w:val="003E4ADB"/>
    <w:rsid w:val="003E5CF9"/>
    <w:rsid w:val="003E6230"/>
    <w:rsid w:val="003E63CF"/>
    <w:rsid w:val="003F0A00"/>
    <w:rsid w:val="003F0D8B"/>
    <w:rsid w:val="003F14CC"/>
    <w:rsid w:val="003F2DE2"/>
    <w:rsid w:val="003F6355"/>
    <w:rsid w:val="00400450"/>
    <w:rsid w:val="00401C20"/>
    <w:rsid w:val="00402CE6"/>
    <w:rsid w:val="00402E4C"/>
    <w:rsid w:val="004031C7"/>
    <w:rsid w:val="00403E1F"/>
    <w:rsid w:val="00403F7B"/>
    <w:rsid w:val="00403FEE"/>
    <w:rsid w:val="0040443E"/>
    <w:rsid w:val="00404F19"/>
    <w:rsid w:val="004050DB"/>
    <w:rsid w:val="00405DD8"/>
    <w:rsid w:val="004065F8"/>
    <w:rsid w:val="004068F7"/>
    <w:rsid w:val="00407B24"/>
    <w:rsid w:val="00411D1B"/>
    <w:rsid w:val="0041203E"/>
    <w:rsid w:val="00413095"/>
    <w:rsid w:val="00413321"/>
    <w:rsid w:val="004136CA"/>
    <w:rsid w:val="00413CE7"/>
    <w:rsid w:val="004155A5"/>
    <w:rsid w:val="0041565F"/>
    <w:rsid w:val="00415F36"/>
    <w:rsid w:val="00416990"/>
    <w:rsid w:val="00417054"/>
    <w:rsid w:val="0041751F"/>
    <w:rsid w:val="00417969"/>
    <w:rsid w:val="00420ED8"/>
    <w:rsid w:val="00424DD3"/>
    <w:rsid w:val="00425575"/>
    <w:rsid w:val="004260F0"/>
    <w:rsid w:val="00426D60"/>
    <w:rsid w:val="00431A2A"/>
    <w:rsid w:val="00432141"/>
    <w:rsid w:val="00434601"/>
    <w:rsid w:val="0044007C"/>
    <w:rsid w:val="00440ED9"/>
    <w:rsid w:val="00444FEB"/>
    <w:rsid w:val="0044526D"/>
    <w:rsid w:val="004478EE"/>
    <w:rsid w:val="00450BAC"/>
    <w:rsid w:val="0045485F"/>
    <w:rsid w:val="00455C97"/>
    <w:rsid w:val="00456066"/>
    <w:rsid w:val="0045631A"/>
    <w:rsid w:val="00456B8A"/>
    <w:rsid w:val="00456E26"/>
    <w:rsid w:val="004576EA"/>
    <w:rsid w:val="00457A65"/>
    <w:rsid w:val="00460296"/>
    <w:rsid w:val="0046199F"/>
    <w:rsid w:val="00461DC4"/>
    <w:rsid w:val="00461F64"/>
    <w:rsid w:val="004622D4"/>
    <w:rsid w:val="0046306F"/>
    <w:rsid w:val="004632B3"/>
    <w:rsid w:val="004636E9"/>
    <w:rsid w:val="00464EEB"/>
    <w:rsid w:val="00464F13"/>
    <w:rsid w:val="0046613D"/>
    <w:rsid w:val="004663B9"/>
    <w:rsid w:val="0046773B"/>
    <w:rsid w:val="00467E05"/>
    <w:rsid w:val="00471A03"/>
    <w:rsid w:val="004720E1"/>
    <w:rsid w:val="00472351"/>
    <w:rsid w:val="004726E6"/>
    <w:rsid w:val="004762D0"/>
    <w:rsid w:val="0048063F"/>
    <w:rsid w:val="00480B78"/>
    <w:rsid w:val="00481D6A"/>
    <w:rsid w:val="0048280F"/>
    <w:rsid w:val="00482CB6"/>
    <w:rsid w:val="00482F5D"/>
    <w:rsid w:val="00482FA2"/>
    <w:rsid w:val="00483F41"/>
    <w:rsid w:val="00486006"/>
    <w:rsid w:val="0048615D"/>
    <w:rsid w:val="00492A6D"/>
    <w:rsid w:val="00492ED3"/>
    <w:rsid w:val="00495279"/>
    <w:rsid w:val="0049578E"/>
    <w:rsid w:val="004957D8"/>
    <w:rsid w:val="004979ED"/>
    <w:rsid w:val="00497B26"/>
    <w:rsid w:val="00497DF0"/>
    <w:rsid w:val="004A0398"/>
    <w:rsid w:val="004A091E"/>
    <w:rsid w:val="004A2964"/>
    <w:rsid w:val="004A42BD"/>
    <w:rsid w:val="004A4C0E"/>
    <w:rsid w:val="004A64CA"/>
    <w:rsid w:val="004A6650"/>
    <w:rsid w:val="004A6B2E"/>
    <w:rsid w:val="004B0925"/>
    <w:rsid w:val="004B09E2"/>
    <w:rsid w:val="004B0CB8"/>
    <w:rsid w:val="004B1B6C"/>
    <w:rsid w:val="004B287B"/>
    <w:rsid w:val="004B2D99"/>
    <w:rsid w:val="004B5751"/>
    <w:rsid w:val="004B579F"/>
    <w:rsid w:val="004B6AF8"/>
    <w:rsid w:val="004B6CFC"/>
    <w:rsid w:val="004C0937"/>
    <w:rsid w:val="004C0D8F"/>
    <w:rsid w:val="004C148D"/>
    <w:rsid w:val="004C1683"/>
    <w:rsid w:val="004C3C7D"/>
    <w:rsid w:val="004C4504"/>
    <w:rsid w:val="004C486C"/>
    <w:rsid w:val="004C493A"/>
    <w:rsid w:val="004C52B9"/>
    <w:rsid w:val="004C543D"/>
    <w:rsid w:val="004C6EC3"/>
    <w:rsid w:val="004C7B27"/>
    <w:rsid w:val="004C7C3A"/>
    <w:rsid w:val="004D019B"/>
    <w:rsid w:val="004D0661"/>
    <w:rsid w:val="004D0C07"/>
    <w:rsid w:val="004D1F34"/>
    <w:rsid w:val="004D3DB3"/>
    <w:rsid w:val="004D47A8"/>
    <w:rsid w:val="004D7075"/>
    <w:rsid w:val="004D7188"/>
    <w:rsid w:val="004E0D0D"/>
    <w:rsid w:val="004E1AD5"/>
    <w:rsid w:val="004E35A7"/>
    <w:rsid w:val="004E371D"/>
    <w:rsid w:val="004E62BC"/>
    <w:rsid w:val="004E716D"/>
    <w:rsid w:val="004F238D"/>
    <w:rsid w:val="004F26FC"/>
    <w:rsid w:val="004F372F"/>
    <w:rsid w:val="004F3906"/>
    <w:rsid w:val="004F3CD4"/>
    <w:rsid w:val="004F4A45"/>
    <w:rsid w:val="004F51FE"/>
    <w:rsid w:val="004F77D0"/>
    <w:rsid w:val="00500131"/>
    <w:rsid w:val="00500A64"/>
    <w:rsid w:val="00501708"/>
    <w:rsid w:val="005029E8"/>
    <w:rsid w:val="00502A7F"/>
    <w:rsid w:val="00502F7B"/>
    <w:rsid w:val="0050334A"/>
    <w:rsid w:val="0050499D"/>
    <w:rsid w:val="00504CD5"/>
    <w:rsid w:val="005059A5"/>
    <w:rsid w:val="00506C42"/>
    <w:rsid w:val="00507675"/>
    <w:rsid w:val="005105D3"/>
    <w:rsid w:val="00511CEB"/>
    <w:rsid w:val="0051606F"/>
    <w:rsid w:val="005169D6"/>
    <w:rsid w:val="00517226"/>
    <w:rsid w:val="00517C48"/>
    <w:rsid w:val="005231E4"/>
    <w:rsid w:val="00523B38"/>
    <w:rsid w:val="00525EC2"/>
    <w:rsid w:val="00526B9C"/>
    <w:rsid w:val="00527429"/>
    <w:rsid w:val="005317CB"/>
    <w:rsid w:val="00532A7B"/>
    <w:rsid w:val="0053319C"/>
    <w:rsid w:val="00533A22"/>
    <w:rsid w:val="005345A9"/>
    <w:rsid w:val="00535774"/>
    <w:rsid w:val="0053612C"/>
    <w:rsid w:val="0053748C"/>
    <w:rsid w:val="00537499"/>
    <w:rsid w:val="0053778D"/>
    <w:rsid w:val="005404FC"/>
    <w:rsid w:val="00541012"/>
    <w:rsid w:val="005412CD"/>
    <w:rsid w:val="005425CF"/>
    <w:rsid w:val="005436F0"/>
    <w:rsid w:val="005441BB"/>
    <w:rsid w:val="0054475D"/>
    <w:rsid w:val="00544A5B"/>
    <w:rsid w:val="00544BF7"/>
    <w:rsid w:val="00544E1B"/>
    <w:rsid w:val="00547509"/>
    <w:rsid w:val="00547F9A"/>
    <w:rsid w:val="0055092B"/>
    <w:rsid w:val="005512A9"/>
    <w:rsid w:val="00551B3D"/>
    <w:rsid w:val="00551E0E"/>
    <w:rsid w:val="005520DE"/>
    <w:rsid w:val="00552735"/>
    <w:rsid w:val="00553FF1"/>
    <w:rsid w:val="00554789"/>
    <w:rsid w:val="005549FE"/>
    <w:rsid w:val="00556927"/>
    <w:rsid w:val="00557056"/>
    <w:rsid w:val="00560096"/>
    <w:rsid w:val="005600B3"/>
    <w:rsid w:val="00560408"/>
    <w:rsid w:val="005609D6"/>
    <w:rsid w:val="00560A4E"/>
    <w:rsid w:val="005614C9"/>
    <w:rsid w:val="00564B01"/>
    <w:rsid w:val="005665AD"/>
    <w:rsid w:val="00571C41"/>
    <w:rsid w:val="0057239F"/>
    <w:rsid w:val="0057368D"/>
    <w:rsid w:val="0057485B"/>
    <w:rsid w:val="00574FF7"/>
    <w:rsid w:val="005755E4"/>
    <w:rsid w:val="00575E8D"/>
    <w:rsid w:val="00577740"/>
    <w:rsid w:val="005802D6"/>
    <w:rsid w:val="0058062B"/>
    <w:rsid w:val="0058208B"/>
    <w:rsid w:val="00582405"/>
    <w:rsid w:val="0058264C"/>
    <w:rsid w:val="00587E5F"/>
    <w:rsid w:val="0059049E"/>
    <w:rsid w:val="005904FB"/>
    <w:rsid w:val="005926EB"/>
    <w:rsid w:val="00592DB3"/>
    <w:rsid w:val="00593FD9"/>
    <w:rsid w:val="005947E2"/>
    <w:rsid w:val="00597A2F"/>
    <w:rsid w:val="005A1826"/>
    <w:rsid w:val="005A1CAF"/>
    <w:rsid w:val="005A30FD"/>
    <w:rsid w:val="005A529C"/>
    <w:rsid w:val="005A6209"/>
    <w:rsid w:val="005A6ECF"/>
    <w:rsid w:val="005A7743"/>
    <w:rsid w:val="005B022C"/>
    <w:rsid w:val="005B1C2F"/>
    <w:rsid w:val="005B262A"/>
    <w:rsid w:val="005B288A"/>
    <w:rsid w:val="005B2F50"/>
    <w:rsid w:val="005B5056"/>
    <w:rsid w:val="005B7B7E"/>
    <w:rsid w:val="005C2141"/>
    <w:rsid w:val="005C2CCE"/>
    <w:rsid w:val="005C33C1"/>
    <w:rsid w:val="005C352C"/>
    <w:rsid w:val="005C5A40"/>
    <w:rsid w:val="005C6D44"/>
    <w:rsid w:val="005C6E5E"/>
    <w:rsid w:val="005C6E68"/>
    <w:rsid w:val="005D1558"/>
    <w:rsid w:val="005D268B"/>
    <w:rsid w:val="005D30B1"/>
    <w:rsid w:val="005D3ED9"/>
    <w:rsid w:val="005D4B92"/>
    <w:rsid w:val="005D4D8D"/>
    <w:rsid w:val="005D6C75"/>
    <w:rsid w:val="005D71C7"/>
    <w:rsid w:val="005E0802"/>
    <w:rsid w:val="005E1F43"/>
    <w:rsid w:val="005E29BB"/>
    <w:rsid w:val="005E30DA"/>
    <w:rsid w:val="005E4003"/>
    <w:rsid w:val="005E41C1"/>
    <w:rsid w:val="005E4363"/>
    <w:rsid w:val="005E5C02"/>
    <w:rsid w:val="005E5C73"/>
    <w:rsid w:val="005E5E56"/>
    <w:rsid w:val="005E78C9"/>
    <w:rsid w:val="005E7AA0"/>
    <w:rsid w:val="005E7B39"/>
    <w:rsid w:val="005F03E2"/>
    <w:rsid w:val="005F1A86"/>
    <w:rsid w:val="005F39F7"/>
    <w:rsid w:val="005F410F"/>
    <w:rsid w:val="005F4AF3"/>
    <w:rsid w:val="005F58FE"/>
    <w:rsid w:val="005F59FD"/>
    <w:rsid w:val="005F5BBC"/>
    <w:rsid w:val="005F69E3"/>
    <w:rsid w:val="00601192"/>
    <w:rsid w:val="0060260D"/>
    <w:rsid w:val="0060288B"/>
    <w:rsid w:val="00603857"/>
    <w:rsid w:val="00603A67"/>
    <w:rsid w:val="0060504C"/>
    <w:rsid w:val="006063CD"/>
    <w:rsid w:val="006065D8"/>
    <w:rsid w:val="00606A27"/>
    <w:rsid w:val="00606F4E"/>
    <w:rsid w:val="00610415"/>
    <w:rsid w:val="00611515"/>
    <w:rsid w:val="00612116"/>
    <w:rsid w:val="006125E7"/>
    <w:rsid w:val="00612A9C"/>
    <w:rsid w:val="006156E5"/>
    <w:rsid w:val="00615C74"/>
    <w:rsid w:val="00617A34"/>
    <w:rsid w:val="00620F2A"/>
    <w:rsid w:val="00621273"/>
    <w:rsid w:val="0062379F"/>
    <w:rsid w:val="00624655"/>
    <w:rsid w:val="00624905"/>
    <w:rsid w:val="00627465"/>
    <w:rsid w:val="00634687"/>
    <w:rsid w:val="00635390"/>
    <w:rsid w:val="00636A57"/>
    <w:rsid w:val="00636BCC"/>
    <w:rsid w:val="0064091B"/>
    <w:rsid w:val="00640C4E"/>
    <w:rsid w:val="00641B95"/>
    <w:rsid w:val="00642A2E"/>
    <w:rsid w:val="00642EFC"/>
    <w:rsid w:val="0064332D"/>
    <w:rsid w:val="006433C0"/>
    <w:rsid w:val="00644472"/>
    <w:rsid w:val="006444D7"/>
    <w:rsid w:val="00644FB4"/>
    <w:rsid w:val="006508D5"/>
    <w:rsid w:val="00651B4B"/>
    <w:rsid w:val="00651D12"/>
    <w:rsid w:val="0065212D"/>
    <w:rsid w:val="00653210"/>
    <w:rsid w:val="00653410"/>
    <w:rsid w:val="00656B44"/>
    <w:rsid w:val="00656BE7"/>
    <w:rsid w:val="00657715"/>
    <w:rsid w:val="00657AAC"/>
    <w:rsid w:val="00657FA8"/>
    <w:rsid w:val="00661AB6"/>
    <w:rsid w:val="00662F9B"/>
    <w:rsid w:val="00665315"/>
    <w:rsid w:val="006661B8"/>
    <w:rsid w:val="006673B8"/>
    <w:rsid w:val="00667A8C"/>
    <w:rsid w:val="00667E09"/>
    <w:rsid w:val="0067195E"/>
    <w:rsid w:val="00672E0B"/>
    <w:rsid w:val="0067379D"/>
    <w:rsid w:val="0067455A"/>
    <w:rsid w:val="0067578A"/>
    <w:rsid w:val="00677447"/>
    <w:rsid w:val="00677779"/>
    <w:rsid w:val="0068051A"/>
    <w:rsid w:val="00680BF6"/>
    <w:rsid w:val="006813F5"/>
    <w:rsid w:val="00681D91"/>
    <w:rsid w:val="006827DD"/>
    <w:rsid w:val="006830C7"/>
    <w:rsid w:val="006841AB"/>
    <w:rsid w:val="00686215"/>
    <w:rsid w:val="00687B03"/>
    <w:rsid w:val="006901B3"/>
    <w:rsid w:val="006907D7"/>
    <w:rsid w:val="00690C63"/>
    <w:rsid w:val="00690F3A"/>
    <w:rsid w:val="00692A03"/>
    <w:rsid w:val="006938EF"/>
    <w:rsid w:val="00694856"/>
    <w:rsid w:val="0069497D"/>
    <w:rsid w:val="006962BC"/>
    <w:rsid w:val="006A05DD"/>
    <w:rsid w:val="006A09A1"/>
    <w:rsid w:val="006A1113"/>
    <w:rsid w:val="006A17C0"/>
    <w:rsid w:val="006A4F9B"/>
    <w:rsid w:val="006A50B3"/>
    <w:rsid w:val="006A5839"/>
    <w:rsid w:val="006A58A7"/>
    <w:rsid w:val="006A65CE"/>
    <w:rsid w:val="006A74C9"/>
    <w:rsid w:val="006A77E8"/>
    <w:rsid w:val="006A7905"/>
    <w:rsid w:val="006B05F3"/>
    <w:rsid w:val="006B1150"/>
    <w:rsid w:val="006B147B"/>
    <w:rsid w:val="006B4206"/>
    <w:rsid w:val="006B5497"/>
    <w:rsid w:val="006B6F18"/>
    <w:rsid w:val="006B73E6"/>
    <w:rsid w:val="006C08BD"/>
    <w:rsid w:val="006C0B3D"/>
    <w:rsid w:val="006C1489"/>
    <w:rsid w:val="006C172E"/>
    <w:rsid w:val="006C18AA"/>
    <w:rsid w:val="006C404B"/>
    <w:rsid w:val="006C4C3F"/>
    <w:rsid w:val="006C6D1A"/>
    <w:rsid w:val="006C6E72"/>
    <w:rsid w:val="006C6F82"/>
    <w:rsid w:val="006C7B27"/>
    <w:rsid w:val="006D04FB"/>
    <w:rsid w:val="006D22CD"/>
    <w:rsid w:val="006D2A80"/>
    <w:rsid w:val="006D3108"/>
    <w:rsid w:val="006D378D"/>
    <w:rsid w:val="006D479E"/>
    <w:rsid w:val="006D6AD3"/>
    <w:rsid w:val="006D790A"/>
    <w:rsid w:val="006E07B2"/>
    <w:rsid w:val="006E201E"/>
    <w:rsid w:val="006E2633"/>
    <w:rsid w:val="006E3C4C"/>
    <w:rsid w:val="006E45C1"/>
    <w:rsid w:val="006E48A7"/>
    <w:rsid w:val="006E4B63"/>
    <w:rsid w:val="006E4ED2"/>
    <w:rsid w:val="006E57C5"/>
    <w:rsid w:val="006E65F9"/>
    <w:rsid w:val="006E6B0E"/>
    <w:rsid w:val="006F0178"/>
    <w:rsid w:val="006F066C"/>
    <w:rsid w:val="006F2B81"/>
    <w:rsid w:val="006F325C"/>
    <w:rsid w:val="006F4617"/>
    <w:rsid w:val="006F48DE"/>
    <w:rsid w:val="006F58C9"/>
    <w:rsid w:val="006F60FB"/>
    <w:rsid w:val="00700C5D"/>
    <w:rsid w:val="007010FF"/>
    <w:rsid w:val="00704BCE"/>
    <w:rsid w:val="00705791"/>
    <w:rsid w:val="00705ECF"/>
    <w:rsid w:val="007075D0"/>
    <w:rsid w:val="0071038A"/>
    <w:rsid w:val="007108BC"/>
    <w:rsid w:val="00710964"/>
    <w:rsid w:val="007129F3"/>
    <w:rsid w:val="00712F2A"/>
    <w:rsid w:val="00716B31"/>
    <w:rsid w:val="00716D1B"/>
    <w:rsid w:val="00717F35"/>
    <w:rsid w:val="00720AB1"/>
    <w:rsid w:val="0072387F"/>
    <w:rsid w:val="00723987"/>
    <w:rsid w:val="007261A6"/>
    <w:rsid w:val="007261D3"/>
    <w:rsid w:val="007262EC"/>
    <w:rsid w:val="00726A15"/>
    <w:rsid w:val="007300AF"/>
    <w:rsid w:val="00732660"/>
    <w:rsid w:val="00733172"/>
    <w:rsid w:val="00733686"/>
    <w:rsid w:val="0073383B"/>
    <w:rsid w:val="00734583"/>
    <w:rsid w:val="0073568F"/>
    <w:rsid w:val="00735927"/>
    <w:rsid w:val="00736234"/>
    <w:rsid w:val="00737123"/>
    <w:rsid w:val="00741CEF"/>
    <w:rsid w:val="00743E32"/>
    <w:rsid w:val="0074462C"/>
    <w:rsid w:val="00750717"/>
    <w:rsid w:val="00750F42"/>
    <w:rsid w:val="007521DB"/>
    <w:rsid w:val="00754884"/>
    <w:rsid w:val="007550AE"/>
    <w:rsid w:val="00756B56"/>
    <w:rsid w:val="00757BA0"/>
    <w:rsid w:val="00757F90"/>
    <w:rsid w:val="007607FF"/>
    <w:rsid w:val="00762DB3"/>
    <w:rsid w:val="0076315C"/>
    <w:rsid w:val="007632FC"/>
    <w:rsid w:val="00763E79"/>
    <w:rsid w:val="007643BA"/>
    <w:rsid w:val="007649BB"/>
    <w:rsid w:val="00764DE7"/>
    <w:rsid w:val="00765D66"/>
    <w:rsid w:val="007662AE"/>
    <w:rsid w:val="00766C2D"/>
    <w:rsid w:val="0077037E"/>
    <w:rsid w:val="00771A12"/>
    <w:rsid w:val="007736FE"/>
    <w:rsid w:val="00773700"/>
    <w:rsid w:val="007743A1"/>
    <w:rsid w:val="0077508B"/>
    <w:rsid w:val="00777B7B"/>
    <w:rsid w:val="00780F4E"/>
    <w:rsid w:val="007822B5"/>
    <w:rsid w:val="00783853"/>
    <w:rsid w:val="00784720"/>
    <w:rsid w:val="00786F4E"/>
    <w:rsid w:val="007939B5"/>
    <w:rsid w:val="00793B07"/>
    <w:rsid w:val="00793F91"/>
    <w:rsid w:val="00795F62"/>
    <w:rsid w:val="00797459"/>
    <w:rsid w:val="007A2901"/>
    <w:rsid w:val="007A2C69"/>
    <w:rsid w:val="007A34D3"/>
    <w:rsid w:val="007A49BE"/>
    <w:rsid w:val="007A5056"/>
    <w:rsid w:val="007A588C"/>
    <w:rsid w:val="007B00F0"/>
    <w:rsid w:val="007B04BA"/>
    <w:rsid w:val="007B0FDF"/>
    <w:rsid w:val="007B23CD"/>
    <w:rsid w:val="007B3280"/>
    <w:rsid w:val="007B49C9"/>
    <w:rsid w:val="007B65E4"/>
    <w:rsid w:val="007C1269"/>
    <w:rsid w:val="007C310B"/>
    <w:rsid w:val="007C3134"/>
    <w:rsid w:val="007C35CE"/>
    <w:rsid w:val="007C3FD6"/>
    <w:rsid w:val="007C4EFE"/>
    <w:rsid w:val="007C57C4"/>
    <w:rsid w:val="007C69B7"/>
    <w:rsid w:val="007D0A8F"/>
    <w:rsid w:val="007D0E05"/>
    <w:rsid w:val="007D1078"/>
    <w:rsid w:val="007D2643"/>
    <w:rsid w:val="007D2E69"/>
    <w:rsid w:val="007D2FD1"/>
    <w:rsid w:val="007D30AE"/>
    <w:rsid w:val="007D3A8F"/>
    <w:rsid w:val="007D5AD3"/>
    <w:rsid w:val="007D5C7F"/>
    <w:rsid w:val="007D5DDA"/>
    <w:rsid w:val="007D637C"/>
    <w:rsid w:val="007D6E15"/>
    <w:rsid w:val="007E0DFC"/>
    <w:rsid w:val="007E16C0"/>
    <w:rsid w:val="007E41C7"/>
    <w:rsid w:val="007E54E7"/>
    <w:rsid w:val="007E5EE9"/>
    <w:rsid w:val="007E5FF8"/>
    <w:rsid w:val="007E624C"/>
    <w:rsid w:val="007E6B9B"/>
    <w:rsid w:val="007F02F0"/>
    <w:rsid w:val="007F1312"/>
    <w:rsid w:val="007F3D55"/>
    <w:rsid w:val="007F4E1E"/>
    <w:rsid w:val="007F6260"/>
    <w:rsid w:val="007F7DFF"/>
    <w:rsid w:val="00800C9F"/>
    <w:rsid w:val="00803019"/>
    <w:rsid w:val="0080349F"/>
    <w:rsid w:val="00803CB8"/>
    <w:rsid w:val="00805B9F"/>
    <w:rsid w:val="00806A0F"/>
    <w:rsid w:val="00807F0F"/>
    <w:rsid w:val="00810730"/>
    <w:rsid w:val="0081247A"/>
    <w:rsid w:val="00813853"/>
    <w:rsid w:val="00813A8E"/>
    <w:rsid w:val="00814BC8"/>
    <w:rsid w:val="0081602F"/>
    <w:rsid w:val="0081649B"/>
    <w:rsid w:val="00821061"/>
    <w:rsid w:val="008215B8"/>
    <w:rsid w:val="0082269F"/>
    <w:rsid w:val="00822B48"/>
    <w:rsid w:val="00822BAE"/>
    <w:rsid w:val="00824284"/>
    <w:rsid w:val="008254C4"/>
    <w:rsid w:val="008269AC"/>
    <w:rsid w:val="00830044"/>
    <w:rsid w:val="008307F8"/>
    <w:rsid w:val="008314A2"/>
    <w:rsid w:val="00833522"/>
    <w:rsid w:val="00833773"/>
    <w:rsid w:val="008338A2"/>
    <w:rsid w:val="00836138"/>
    <w:rsid w:val="00837B5D"/>
    <w:rsid w:val="00837E96"/>
    <w:rsid w:val="00841618"/>
    <w:rsid w:val="00843A71"/>
    <w:rsid w:val="00844B38"/>
    <w:rsid w:val="00845433"/>
    <w:rsid w:val="0084666F"/>
    <w:rsid w:val="008467DE"/>
    <w:rsid w:val="00846EB7"/>
    <w:rsid w:val="00847C15"/>
    <w:rsid w:val="00850C2C"/>
    <w:rsid w:val="0085164C"/>
    <w:rsid w:val="00852378"/>
    <w:rsid w:val="00855993"/>
    <w:rsid w:val="0085605A"/>
    <w:rsid w:val="0085641F"/>
    <w:rsid w:val="00857120"/>
    <w:rsid w:val="00861849"/>
    <w:rsid w:val="008627B2"/>
    <w:rsid w:val="0086521A"/>
    <w:rsid w:val="008658C2"/>
    <w:rsid w:val="00867B20"/>
    <w:rsid w:val="00871015"/>
    <w:rsid w:val="00871BB8"/>
    <w:rsid w:val="00871C09"/>
    <w:rsid w:val="00871EF4"/>
    <w:rsid w:val="00872C30"/>
    <w:rsid w:val="00872DDC"/>
    <w:rsid w:val="00875382"/>
    <w:rsid w:val="008770EA"/>
    <w:rsid w:val="0087752E"/>
    <w:rsid w:val="008808FC"/>
    <w:rsid w:val="008818E8"/>
    <w:rsid w:val="00883E84"/>
    <w:rsid w:val="0088478B"/>
    <w:rsid w:val="00884BC9"/>
    <w:rsid w:val="0088660A"/>
    <w:rsid w:val="00890480"/>
    <w:rsid w:val="00891232"/>
    <w:rsid w:val="008929BA"/>
    <w:rsid w:val="008931AD"/>
    <w:rsid w:val="00895AB1"/>
    <w:rsid w:val="00895F5D"/>
    <w:rsid w:val="008961FC"/>
    <w:rsid w:val="00897762"/>
    <w:rsid w:val="008A01CB"/>
    <w:rsid w:val="008A1254"/>
    <w:rsid w:val="008A2B5F"/>
    <w:rsid w:val="008A376E"/>
    <w:rsid w:val="008A3885"/>
    <w:rsid w:val="008A6A2B"/>
    <w:rsid w:val="008B0D97"/>
    <w:rsid w:val="008B178F"/>
    <w:rsid w:val="008B19E0"/>
    <w:rsid w:val="008B1D80"/>
    <w:rsid w:val="008B1F7E"/>
    <w:rsid w:val="008B33FF"/>
    <w:rsid w:val="008B34F1"/>
    <w:rsid w:val="008B3A1A"/>
    <w:rsid w:val="008B4D32"/>
    <w:rsid w:val="008B5B08"/>
    <w:rsid w:val="008B5CA4"/>
    <w:rsid w:val="008B609B"/>
    <w:rsid w:val="008C0469"/>
    <w:rsid w:val="008C10AD"/>
    <w:rsid w:val="008C1490"/>
    <w:rsid w:val="008C2296"/>
    <w:rsid w:val="008C4120"/>
    <w:rsid w:val="008C5E76"/>
    <w:rsid w:val="008C6257"/>
    <w:rsid w:val="008C632C"/>
    <w:rsid w:val="008C66D1"/>
    <w:rsid w:val="008C72B8"/>
    <w:rsid w:val="008C792E"/>
    <w:rsid w:val="008D0C51"/>
    <w:rsid w:val="008D19C4"/>
    <w:rsid w:val="008D75B7"/>
    <w:rsid w:val="008E078E"/>
    <w:rsid w:val="008E0A4C"/>
    <w:rsid w:val="008E39E1"/>
    <w:rsid w:val="008E49F9"/>
    <w:rsid w:val="008E5AAD"/>
    <w:rsid w:val="008E656D"/>
    <w:rsid w:val="008E6923"/>
    <w:rsid w:val="008E734D"/>
    <w:rsid w:val="008E79AD"/>
    <w:rsid w:val="008F025D"/>
    <w:rsid w:val="008F070A"/>
    <w:rsid w:val="008F26DC"/>
    <w:rsid w:val="008F351A"/>
    <w:rsid w:val="008F35CB"/>
    <w:rsid w:val="008F396B"/>
    <w:rsid w:val="008F46D0"/>
    <w:rsid w:val="008F624F"/>
    <w:rsid w:val="008F6E47"/>
    <w:rsid w:val="00904C23"/>
    <w:rsid w:val="0090521F"/>
    <w:rsid w:val="0090534D"/>
    <w:rsid w:val="00906507"/>
    <w:rsid w:val="00906796"/>
    <w:rsid w:val="009073D5"/>
    <w:rsid w:val="00910F3C"/>
    <w:rsid w:val="00912588"/>
    <w:rsid w:val="00912BC4"/>
    <w:rsid w:val="0091318C"/>
    <w:rsid w:val="009159D9"/>
    <w:rsid w:val="009176BE"/>
    <w:rsid w:val="00920726"/>
    <w:rsid w:val="009221A7"/>
    <w:rsid w:val="009223E8"/>
    <w:rsid w:val="009234E5"/>
    <w:rsid w:val="009251B1"/>
    <w:rsid w:val="009258BF"/>
    <w:rsid w:val="00926EC5"/>
    <w:rsid w:val="009276C7"/>
    <w:rsid w:val="009301C4"/>
    <w:rsid w:val="00930A5F"/>
    <w:rsid w:val="009310EF"/>
    <w:rsid w:val="00931978"/>
    <w:rsid w:val="00932AE1"/>
    <w:rsid w:val="009337E1"/>
    <w:rsid w:val="009346C1"/>
    <w:rsid w:val="009349F8"/>
    <w:rsid w:val="009355EF"/>
    <w:rsid w:val="00936AC5"/>
    <w:rsid w:val="00940336"/>
    <w:rsid w:val="00942498"/>
    <w:rsid w:val="00942A0F"/>
    <w:rsid w:val="0094321A"/>
    <w:rsid w:val="0095080F"/>
    <w:rsid w:val="00950DF9"/>
    <w:rsid w:val="00952A3A"/>
    <w:rsid w:val="00952C7B"/>
    <w:rsid w:val="00954A10"/>
    <w:rsid w:val="009558A8"/>
    <w:rsid w:val="009558F0"/>
    <w:rsid w:val="009575B1"/>
    <w:rsid w:val="0096002E"/>
    <w:rsid w:val="0096161E"/>
    <w:rsid w:val="0096255E"/>
    <w:rsid w:val="00963633"/>
    <w:rsid w:val="00967204"/>
    <w:rsid w:val="00970FFB"/>
    <w:rsid w:val="0097100F"/>
    <w:rsid w:val="009718B5"/>
    <w:rsid w:val="00973EE7"/>
    <w:rsid w:val="00974052"/>
    <w:rsid w:val="009740D9"/>
    <w:rsid w:val="009745B0"/>
    <w:rsid w:val="00974E15"/>
    <w:rsid w:val="0097538E"/>
    <w:rsid w:val="00976279"/>
    <w:rsid w:val="00982B5F"/>
    <w:rsid w:val="009843A5"/>
    <w:rsid w:val="00984C1C"/>
    <w:rsid w:val="00985AA4"/>
    <w:rsid w:val="00986FF5"/>
    <w:rsid w:val="00987F48"/>
    <w:rsid w:val="00991248"/>
    <w:rsid w:val="00991BD7"/>
    <w:rsid w:val="00993305"/>
    <w:rsid w:val="009943FC"/>
    <w:rsid w:val="0099604C"/>
    <w:rsid w:val="009A0F7C"/>
    <w:rsid w:val="009A154C"/>
    <w:rsid w:val="009A2DE7"/>
    <w:rsid w:val="009A35EC"/>
    <w:rsid w:val="009A41C5"/>
    <w:rsid w:val="009A51AD"/>
    <w:rsid w:val="009A618D"/>
    <w:rsid w:val="009A7000"/>
    <w:rsid w:val="009A7E51"/>
    <w:rsid w:val="009B1459"/>
    <w:rsid w:val="009B1F9C"/>
    <w:rsid w:val="009B419E"/>
    <w:rsid w:val="009B441D"/>
    <w:rsid w:val="009B53C6"/>
    <w:rsid w:val="009B69ED"/>
    <w:rsid w:val="009C15F9"/>
    <w:rsid w:val="009C27FD"/>
    <w:rsid w:val="009C28DD"/>
    <w:rsid w:val="009C4C75"/>
    <w:rsid w:val="009C5014"/>
    <w:rsid w:val="009C5057"/>
    <w:rsid w:val="009C7BE4"/>
    <w:rsid w:val="009D06E2"/>
    <w:rsid w:val="009D0DB5"/>
    <w:rsid w:val="009D115B"/>
    <w:rsid w:val="009D3C4A"/>
    <w:rsid w:val="009D4216"/>
    <w:rsid w:val="009D5DD1"/>
    <w:rsid w:val="009D658A"/>
    <w:rsid w:val="009E2C0E"/>
    <w:rsid w:val="009E31BA"/>
    <w:rsid w:val="009E41B9"/>
    <w:rsid w:val="009E64ED"/>
    <w:rsid w:val="009E68AC"/>
    <w:rsid w:val="009F1A5C"/>
    <w:rsid w:val="009F3461"/>
    <w:rsid w:val="009F3DF1"/>
    <w:rsid w:val="009F3ED4"/>
    <w:rsid w:val="009F5C6F"/>
    <w:rsid w:val="009F5EB7"/>
    <w:rsid w:val="009F7781"/>
    <w:rsid w:val="00A00220"/>
    <w:rsid w:val="00A0028F"/>
    <w:rsid w:val="00A00C51"/>
    <w:rsid w:val="00A01E07"/>
    <w:rsid w:val="00A021E0"/>
    <w:rsid w:val="00A04828"/>
    <w:rsid w:val="00A05238"/>
    <w:rsid w:val="00A06D56"/>
    <w:rsid w:val="00A07D84"/>
    <w:rsid w:val="00A1080E"/>
    <w:rsid w:val="00A1086E"/>
    <w:rsid w:val="00A11E3F"/>
    <w:rsid w:val="00A16B96"/>
    <w:rsid w:val="00A17381"/>
    <w:rsid w:val="00A209CF"/>
    <w:rsid w:val="00A20D49"/>
    <w:rsid w:val="00A224A4"/>
    <w:rsid w:val="00A22739"/>
    <w:rsid w:val="00A242C2"/>
    <w:rsid w:val="00A24849"/>
    <w:rsid w:val="00A27F34"/>
    <w:rsid w:val="00A300E4"/>
    <w:rsid w:val="00A30DD1"/>
    <w:rsid w:val="00A30DE1"/>
    <w:rsid w:val="00A32066"/>
    <w:rsid w:val="00A328D6"/>
    <w:rsid w:val="00A34051"/>
    <w:rsid w:val="00A344B4"/>
    <w:rsid w:val="00A345C8"/>
    <w:rsid w:val="00A35D8C"/>
    <w:rsid w:val="00A36976"/>
    <w:rsid w:val="00A37C95"/>
    <w:rsid w:val="00A37D60"/>
    <w:rsid w:val="00A400D0"/>
    <w:rsid w:val="00A4026A"/>
    <w:rsid w:val="00A402D2"/>
    <w:rsid w:val="00A42770"/>
    <w:rsid w:val="00A42B31"/>
    <w:rsid w:val="00A42EC4"/>
    <w:rsid w:val="00A43250"/>
    <w:rsid w:val="00A432D6"/>
    <w:rsid w:val="00A461B4"/>
    <w:rsid w:val="00A464E9"/>
    <w:rsid w:val="00A46782"/>
    <w:rsid w:val="00A476CE"/>
    <w:rsid w:val="00A47B7E"/>
    <w:rsid w:val="00A507FF"/>
    <w:rsid w:val="00A51455"/>
    <w:rsid w:val="00A51A85"/>
    <w:rsid w:val="00A52C27"/>
    <w:rsid w:val="00A54981"/>
    <w:rsid w:val="00A559C0"/>
    <w:rsid w:val="00A56D75"/>
    <w:rsid w:val="00A622A7"/>
    <w:rsid w:val="00A62E96"/>
    <w:rsid w:val="00A65222"/>
    <w:rsid w:val="00A65933"/>
    <w:rsid w:val="00A6649D"/>
    <w:rsid w:val="00A70DB6"/>
    <w:rsid w:val="00A71060"/>
    <w:rsid w:val="00A71707"/>
    <w:rsid w:val="00A71FEF"/>
    <w:rsid w:val="00A72357"/>
    <w:rsid w:val="00A726F1"/>
    <w:rsid w:val="00A734A5"/>
    <w:rsid w:val="00A73891"/>
    <w:rsid w:val="00A74D8F"/>
    <w:rsid w:val="00A76063"/>
    <w:rsid w:val="00A76256"/>
    <w:rsid w:val="00A76380"/>
    <w:rsid w:val="00A77DEF"/>
    <w:rsid w:val="00A803DF"/>
    <w:rsid w:val="00A80BF6"/>
    <w:rsid w:val="00A80C97"/>
    <w:rsid w:val="00A81352"/>
    <w:rsid w:val="00A82F4E"/>
    <w:rsid w:val="00A83406"/>
    <w:rsid w:val="00A8428B"/>
    <w:rsid w:val="00A86129"/>
    <w:rsid w:val="00A86A02"/>
    <w:rsid w:val="00A873AD"/>
    <w:rsid w:val="00A87B35"/>
    <w:rsid w:val="00A90A7C"/>
    <w:rsid w:val="00A90F71"/>
    <w:rsid w:val="00A91654"/>
    <w:rsid w:val="00A92CA6"/>
    <w:rsid w:val="00A95091"/>
    <w:rsid w:val="00A95B68"/>
    <w:rsid w:val="00A96566"/>
    <w:rsid w:val="00AA1CFB"/>
    <w:rsid w:val="00AA1E03"/>
    <w:rsid w:val="00AA25DB"/>
    <w:rsid w:val="00AA3D9B"/>
    <w:rsid w:val="00AA4EF4"/>
    <w:rsid w:val="00AA515C"/>
    <w:rsid w:val="00AA58DB"/>
    <w:rsid w:val="00AA5A93"/>
    <w:rsid w:val="00AA6350"/>
    <w:rsid w:val="00AA689E"/>
    <w:rsid w:val="00AB0559"/>
    <w:rsid w:val="00AB0882"/>
    <w:rsid w:val="00AB0950"/>
    <w:rsid w:val="00AB11A5"/>
    <w:rsid w:val="00AB304D"/>
    <w:rsid w:val="00AB3B99"/>
    <w:rsid w:val="00AB45C8"/>
    <w:rsid w:val="00AB4680"/>
    <w:rsid w:val="00AB46A5"/>
    <w:rsid w:val="00AB5180"/>
    <w:rsid w:val="00AB5EE6"/>
    <w:rsid w:val="00AB7DC2"/>
    <w:rsid w:val="00AC011A"/>
    <w:rsid w:val="00AC0F9A"/>
    <w:rsid w:val="00AC1C28"/>
    <w:rsid w:val="00AC5B1E"/>
    <w:rsid w:val="00AC5C9C"/>
    <w:rsid w:val="00AC6889"/>
    <w:rsid w:val="00AC7737"/>
    <w:rsid w:val="00AC7D50"/>
    <w:rsid w:val="00AD00F7"/>
    <w:rsid w:val="00AD4786"/>
    <w:rsid w:val="00AD5915"/>
    <w:rsid w:val="00AE2EC9"/>
    <w:rsid w:val="00AE3FA9"/>
    <w:rsid w:val="00AE65FE"/>
    <w:rsid w:val="00AE7CC6"/>
    <w:rsid w:val="00AF034B"/>
    <w:rsid w:val="00AF2EF4"/>
    <w:rsid w:val="00AF40D5"/>
    <w:rsid w:val="00AF5537"/>
    <w:rsid w:val="00AF66F3"/>
    <w:rsid w:val="00B01974"/>
    <w:rsid w:val="00B01B47"/>
    <w:rsid w:val="00B03C0E"/>
    <w:rsid w:val="00B04D6F"/>
    <w:rsid w:val="00B0776A"/>
    <w:rsid w:val="00B07A0E"/>
    <w:rsid w:val="00B1155E"/>
    <w:rsid w:val="00B11C52"/>
    <w:rsid w:val="00B11D75"/>
    <w:rsid w:val="00B12E5E"/>
    <w:rsid w:val="00B1422E"/>
    <w:rsid w:val="00B14BB5"/>
    <w:rsid w:val="00B15305"/>
    <w:rsid w:val="00B157E5"/>
    <w:rsid w:val="00B17850"/>
    <w:rsid w:val="00B17973"/>
    <w:rsid w:val="00B22C18"/>
    <w:rsid w:val="00B24541"/>
    <w:rsid w:val="00B25893"/>
    <w:rsid w:val="00B27187"/>
    <w:rsid w:val="00B31A89"/>
    <w:rsid w:val="00B31B84"/>
    <w:rsid w:val="00B32D79"/>
    <w:rsid w:val="00B35303"/>
    <w:rsid w:val="00B35900"/>
    <w:rsid w:val="00B400B0"/>
    <w:rsid w:val="00B41A4C"/>
    <w:rsid w:val="00B4207C"/>
    <w:rsid w:val="00B42535"/>
    <w:rsid w:val="00B42A25"/>
    <w:rsid w:val="00B430C2"/>
    <w:rsid w:val="00B436BB"/>
    <w:rsid w:val="00B43CB9"/>
    <w:rsid w:val="00B44805"/>
    <w:rsid w:val="00B46157"/>
    <w:rsid w:val="00B46647"/>
    <w:rsid w:val="00B46990"/>
    <w:rsid w:val="00B514A1"/>
    <w:rsid w:val="00B51A53"/>
    <w:rsid w:val="00B573EE"/>
    <w:rsid w:val="00B57F50"/>
    <w:rsid w:val="00B60131"/>
    <w:rsid w:val="00B619B8"/>
    <w:rsid w:val="00B61C45"/>
    <w:rsid w:val="00B6347C"/>
    <w:rsid w:val="00B64835"/>
    <w:rsid w:val="00B659AE"/>
    <w:rsid w:val="00B6646C"/>
    <w:rsid w:val="00B67ACF"/>
    <w:rsid w:val="00B67FDE"/>
    <w:rsid w:val="00B72489"/>
    <w:rsid w:val="00B731D5"/>
    <w:rsid w:val="00B7345A"/>
    <w:rsid w:val="00B73CE3"/>
    <w:rsid w:val="00B76600"/>
    <w:rsid w:val="00B77FA6"/>
    <w:rsid w:val="00B80225"/>
    <w:rsid w:val="00B82807"/>
    <w:rsid w:val="00B83F81"/>
    <w:rsid w:val="00B85EC9"/>
    <w:rsid w:val="00B86BB9"/>
    <w:rsid w:val="00B86E3B"/>
    <w:rsid w:val="00B879AE"/>
    <w:rsid w:val="00B9025F"/>
    <w:rsid w:val="00B90BE4"/>
    <w:rsid w:val="00B90E05"/>
    <w:rsid w:val="00B924A9"/>
    <w:rsid w:val="00B9262F"/>
    <w:rsid w:val="00B92FED"/>
    <w:rsid w:val="00B9591C"/>
    <w:rsid w:val="00B97A11"/>
    <w:rsid w:val="00B97AC2"/>
    <w:rsid w:val="00BA016F"/>
    <w:rsid w:val="00BA0266"/>
    <w:rsid w:val="00BA2E05"/>
    <w:rsid w:val="00BA42F3"/>
    <w:rsid w:val="00BA4D8D"/>
    <w:rsid w:val="00BA62A4"/>
    <w:rsid w:val="00BA7B7D"/>
    <w:rsid w:val="00BB0CCF"/>
    <w:rsid w:val="00BB19A1"/>
    <w:rsid w:val="00BB2B6A"/>
    <w:rsid w:val="00BB6BEF"/>
    <w:rsid w:val="00BB7565"/>
    <w:rsid w:val="00BB75CA"/>
    <w:rsid w:val="00BB7624"/>
    <w:rsid w:val="00BC09D0"/>
    <w:rsid w:val="00BC17E0"/>
    <w:rsid w:val="00BC18A0"/>
    <w:rsid w:val="00BC204D"/>
    <w:rsid w:val="00BC2713"/>
    <w:rsid w:val="00BC44D5"/>
    <w:rsid w:val="00BC6BDC"/>
    <w:rsid w:val="00BD1DE3"/>
    <w:rsid w:val="00BD35C5"/>
    <w:rsid w:val="00BD381C"/>
    <w:rsid w:val="00BD3D54"/>
    <w:rsid w:val="00BE0B40"/>
    <w:rsid w:val="00BE23FA"/>
    <w:rsid w:val="00BE29E1"/>
    <w:rsid w:val="00BE2D65"/>
    <w:rsid w:val="00BE64BA"/>
    <w:rsid w:val="00BE65AE"/>
    <w:rsid w:val="00BE70A8"/>
    <w:rsid w:val="00BE75C7"/>
    <w:rsid w:val="00BE7791"/>
    <w:rsid w:val="00BE7E44"/>
    <w:rsid w:val="00BF024A"/>
    <w:rsid w:val="00BF11BC"/>
    <w:rsid w:val="00BF4640"/>
    <w:rsid w:val="00BF4FB4"/>
    <w:rsid w:val="00C042E7"/>
    <w:rsid w:val="00C05A26"/>
    <w:rsid w:val="00C07380"/>
    <w:rsid w:val="00C121C3"/>
    <w:rsid w:val="00C12563"/>
    <w:rsid w:val="00C12872"/>
    <w:rsid w:val="00C1337B"/>
    <w:rsid w:val="00C14928"/>
    <w:rsid w:val="00C16224"/>
    <w:rsid w:val="00C16606"/>
    <w:rsid w:val="00C17FEB"/>
    <w:rsid w:val="00C20C08"/>
    <w:rsid w:val="00C21819"/>
    <w:rsid w:val="00C22DEA"/>
    <w:rsid w:val="00C240BA"/>
    <w:rsid w:val="00C252FD"/>
    <w:rsid w:val="00C25AEF"/>
    <w:rsid w:val="00C303DB"/>
    <w:rsid w:val="00C325FB"/>
    <w:rsid w:val="00C33921"/>
    <w:rsid w:val="00C33AF1"/>
    <w:rsid w:val="00C34BCB"/>
    <w:rsid w:val="00C35CDC"/>
    <w:rsid w:val="00C36407"/>
    <w:rsid w:val="00C37AF2"/>
    <w:rsid w:val="00C405BC"/>
    <w:rsid w:val="00C41121"/>
    <w:rsid w:val="00C4313B"/>
    <w:rsid w:val="00C43411"/>
    <w:rsid w:val="00C43E6A"/>
    <w:rsid w:val="00C43EF3"/>
    <w:rsid w:val="00C44210"/>
    <w:rsid w:val="00C44E1E"/>
    <w:rsid w:val="00C45C98"/>
    <w:rsid w:val="00C45F95"/>
    <w:rsid w:val="00C47DAC"/>
    <w:rsid w:val="00C50AEC"/>
    <w:rsid w:val="00C50FA5"/>
    <w:rsid w:val="00C51C52"/>
    <w:rsid w:val="00C51E36"/>
    <w:rsid w:val="00C5348A"/>
    <w:rsid w:val="00C542FD"/>
    <w:rsid w:val="00C55A44"/>
    <w:rsid w:val="00C60416"/>
    <w:rsid w:val="00C612E6"/>
    <w:rsid w:val="00C6161E"/>
    <w:rsid w:val="00C6306D"/>
    <w:rsid w:val="00C6338D"/>
    <w:rsid w:val="00C63501"/>
    <w:rsid w:val="00C67AB0"/>
    <w:rsid w:val="00C7003C"/>
    <w:rsid w:val="00C703DE"/>
    <w:rsid w:val="00C70D48"/>
    <w:rsid w:val="00C71AB1"/>
    <w:rsid w:val="00C723F4"/>
    <w:rsid w:val="00C7413A"/>
    <w:rsid w:val="00C74C76"/>
    <w:rsid w:val="00C760B1"/>
    <w:rsid w:val="00C76E30"/>
    <w:rsid w:val="00C7765B"/>
    <w:rsid w:val="00C80A96"/>
    <w:rsid w:val="00C81068"/>
    <w:rsid w:val="00C837FB"/>
    <w:rsid w:val="00C8544A"/>
    <w:rsid w:val="00C8582F"/>
    <w:rsid w:val="00C93057"/>
    <w:rsid w:val="00C9393E"/>
    <w:rsid w:val="00C93F29"/>
    <w:rsid w:val="00C94258"/>
    <w:rsid w:val="00C945C0"/>
    <w:rsid w:val="00C969A7"/>
    <w:rsid w:val="00C96A33"/>
    <w:rsid w:val="00C96DD0"/>
    <w:rsid w:val="00CA1309"/>
    <w:rsid w:val="00CA15B3"/>
    <w:rsid w:val="00CA1713"/>
    <w:rsid w:val="00CA25A0"/>
    <w:rsid w:val="00CA3346"/>
    <w:rsid w:val="00CA4EF1"/>
    <w:rsid w:val="00CA54B6"/>
    <w:rsid w:val="00CA6274"/>
    <w:rsid w:val="00CA6E7B"/>
    <w:rsid w:val="00CA7021"/>
    <w:rsid w:val="00CB00F3"/>
    <w:rsid w:val="00CB03E5"/>
    <w:rsid w:val="00CB15EC"/>
    <w:rsid w:val="00CB161B"/>
    <w:rsid w:val="00CB1937"/>
    <w:rsid w:val="00CB1955"/>
    <w:rsid w:val="00CB34E9"/>
    <w:rsid w:val="00CB36F4"/>
    <w:rsid w:val="00CB5B6A"/>
    <w:rsid w:val="00CB5B73"/>
    <w:rsid w:val="00CB6147"/>
    <w:rsid w:val="00CB7079"/>
    <w:rsid w:val="00CB725E"/>
    <w:rsid w:val="00CB7607"/>
    <w:rsid w:val="00CC001F"/>
    <w:rsid w:val="00CC1F1A"/>
    <w:rsid w:val="00CC28B7"/>
    <w:rsid w:val="00CC2FD5"/>
    <w:rsid w:val="00CC3D93"/>
    <w:rsid w:val="00CC4AD4"/>
    <w:rsid w:val="00CC642D"/>
    <w:rsid w:val="00CC7FF1"/>
    <w:rsid w:val="00CD06B1"/>
    <w:rsid w:val="00CD0FC5"/>
    <w:rsid w:val="00CD0FF8"/>
    <w:rsid w:val="00CD1923"/>
    <w:rsid w:val="00CD2CB1"/>
    <w:rsid w:val="00CD45CE"/>
    <w:rsid w:val="00CD536E"/>
    <w:rsid w:val="00CD5A46"/>
    <w:rsid w:val="00CD69D4"/>
    <w:rsid w:val="00CD6B56"/>
    <w:rsid w:val="00CD6BEB"/>
    <w:rsid w:val="00CD75F2"/>
    <w:rsid w:val="00CD78F6"/>
    <w:rsid w:val="00CD7979"/>
    <w:rsid w:val="00CE211D"/>
    <w:rsid w:val="00CE3525"/>
    <w:rsid w:val="00CE49AD"/>
    <w:rsid w:val="00CE6D0F"/>
    <w:rsid w:val="00CE6F4A"/>
    <w:rsid w:val="00CE7E66"/>
    <w:rsid w:val="00CF0D76"/>
    <w:rsid w:val="00CF19D9"/>
    <w:rsid w:val="00CF2303"/>
    <w:rsid w:val="00CF3619"/>
    <w:rsid w:val="00CF4055"/>
    <w:rsid w:val="00CF504B"/>
    <w:rsid w:val="00CF550D"/>
    <w:rsid w:val="00CF6668"/>
    <w:rsid w:val="00CF6E0A"/>
    <w:rsid w:val="00CF7990"/>
    <w:rsid w:val="00D03FE6"/>
    <w:rsid w:val="00D04055"/>
    <w:rsid w:val="00D0413D"/>
    <w:rsid w:val="00D06400"/>
    <w:rsid w:val="00D07D2B"/>
    <w:rsid w:val="00D07D70"/>
    <w:rsid w:val="00D10471"/>
    <w:rsid w:val="00D106C0"/>
    <w:rsid w:val="00D11961"/>
    <w:rsid w:val="00D12261"/>
    <w:rsid w:val="00D12D21"/>
    <w:rsid w:val="00D13AB6"/>
    <w:rsid w:val="00D14179"/>
    <w:rsid w:val="00D14194"/>
    <w:rsid w:val="00D14FC7"/>
    <w:rsid w:val="00D1541B"/>
    <w:rsid w:val="00D1561D"/>
    <w:rsid w:val="00D20A2B"/>
    <w:rsid w:val="00D22728"/>
    <w:rsid w:val="00D23EF7"/>
    <w:rsid w:val="00D24D68"/>
    <w:rsid w:val="00D256D3"/>
    <w:rsid w:val="00D26869"/>
    <w:rsid w:val="00D26E29"/>
    <w:rsid w:val="00D3000C"/>
    <w:rsid w:val="00D30062"/>
    <w:rsid w:val="00D30714"/>
    <w:rsid w:val="00D30754"/>
    <w:rsid w:val="00D308A3"/>
    <w:rsid w:val="00D31701"/>
    <w:rsid w:val="00D31E8C"/>
    <w:rsid w:val="00D32A10"/>
    <w:rsid w:val="00D32CBD"/>
    <w:rsid w:val="00D33076"/>
    <w:rsid w:val="00D339E4"/>
    <w:rsid w:val="00D34C73"/>
    <w:rsid w:val="00D35EB3"/>
    <w:rsid w:val="00D3798D"/>
    <w:rsid w:val="00D37DCC"/>
    <w:rsid w:val="00D400E4"/>
    <w:rsid w:val="00D408C5"/>
    <w:rsid w:val="00D425C6"/>
    <w:rsid w:val="00D43C1E"/>
    <w:rsid w:val="00D451A0"/>
    <w:rsid w:val="00D451FC"/>
    <w:rsid w:val="00D472B5"/>
    <w:rsid w:val="00D50260"/>
    <w:rsid w:val="00D502C0"/>
    <w:rsid w:val="00D5178A"/>
    <w:rsid w:val="00D51E84"/>
    <w:rsid w:val="00D53514"/>
    <w:rsid w:val="00D54C93"/>
    <w:rsid w:val="00D561C4"/>
    <w:rsid w:val="00D5647B"/>
    <w:rsid w:val="00D56E42"/>
    <w:rsid w:val="00D61CC2"/>
    <w:rsid w:val="00D623B7"/>
    <w:rsid w:val="00D6307C"/>
    <w:rsid w:val="00D653E8"/>
    <w:rsid w:val="00D66594"/>
    <w:rsid w:val="00D67B3C"/>
    <w:rsid w:val="00D67C0C"/>
    <w:rsid w:val="00D70E49"/>
    <w:rsid w:val="00D717AE"/>
    <w:rsid w:val="00D717ED"/>
    <w:rsid w:val="00D73039"/>
    <w:rsid w:val="00D73782"/>
    <w:rsid w:val="00D760BF"/>
    <w:rsid w:val="00D76226"/>
    <w:rsid w:val="00D76533"/>
    <w:rsid w:val="00D76F01"/>
    <w:rsid w:val="00D80F30"/>
    <w:rsid w:val="00D84342"/>
    <w:rsid w:val="00D8434A"/>
    <w:rsid w:val="00D84C13"/>
    <w:rsid w:val="00D84E10"/>
    <w:rsid w:val="00D8590D"/>
    <w:rsid w:val="00D87873"/>
    <w:rsid w:val="00D87DC7"/>
    <w:rsid w:val="00D9035D"/>
    <w:rsid w:val="00D9077F"/>
    <w:rsid w:val="00D91CB0"/>
    <w:rsid w:val="00D91EDC"/>
    <w:rsid w:val="00D925E4"/>
    <w:rsid w:val="00D95259"/>
    <w:rsid w:val="00D95B76"/>
    <w:rsid w:val="00D970AA"/>
    <w:rsid w:val="00D9781B"/>
    <w:rsid w:val="00DA2176"/>
    <w:rsid w:val="00DA363C"/>
    <w:rsid w:val="00DA3764"/>
    <w:rsid w:val="00DB07EA"/>
    <w:rsid w:val="00DB1E28"/>
    <w:rsid w:val="00DB20DA"/>
    <w:rsid w:val="00DB3674"/>
    <w:rsid w:val="00DB4818"/>
    <w:rsid w:val="00DB49C5"/>
    <w:rsid w:val="00DB5E50"/>
    <w:rsid w:val="00DB70F6"/>
    <w:rsid w:val="00DC0EED"/>
    <w:rsid w:val="00DC2C5A"/>
    <w:rsid w:val="00DC3E0C"/>
    <w:rsid w:val="00DC44F3"/>
    <w:rsid w:val="00DC4E28"/>
    <w:rsid w:val="00DC52DE"/>
    <w:rsid w:val="00DC7519"/>
    <w:rsid w:val="00DD0ED6"/>
    <w:rsid w:val="00DD34CA"/>
    <w:rsid w:val="00DD3500"/>
    <w:rsid w:val="00DD37F7"/>
    <w:rsid w:val="00DD555E"/>
    <w:rsid w:val="00DD6371"/>
    <w:rsid w:val="00DD6C8D"/>
    <w:rsid w:val="00DE06FD"/>
    <w:rsid w:val="00DE1056"/>
    <w:rsid w:val="00DE1F51"/>
    <w:rsid w:val="00DE3270"/>
    <w:rsid w:val="00DE3A81"/>
    <w:rsid w:val="00DE3E8D"/>
    <w:rsid w:val="00DE5202"/>
    <w:rsid w:val="00DE7024"/>
    <w:rsid w:val="00DE7077"/>
    <w:rsid w:val="00DE747D"/>
    <w:rsid w:val="00DF03E7"/>
    <w:rsid w:val="00DF29B3"/>
    <w:rsid w:val="00DF3D33"/>
    <w:rsid w:val="00DF6B1F"/>
    <w:rsid w:val="00E0292C"/>
    <w:rsid w:val="00E02AA9"/>
    <w:rsid w:val="00E035A8"/>
    <w:rsid w:val="00E037C6"/>
    <w:rsid w:val="00E03A53"/>
    <w:rsid w:val="00E05438"/>
    <w:rsid w:val="00E06273"/>
    <w:rsid w:val="00E06CCE"/>
    <w:rsid w:val="00E07421"/>
    <w:rsid w:val="00E076B5"/>
    <w:rsid w:val="00E078EA"/>
    <w:rsid w:val="00E07B08"/>
    <w:rsid w:val="00E10781"/>
    <w:rsid w:val="00E10F7D"/>
    <w:rsid w:val="00E138D7"/>
    <w:rsid w:val="00E14918"/>
    <w:rsid w:val="00E15DD0"/>
    <w:rsid w:val="00E1763F"/>
    <w:rsid w:val="00E20430"/>
    <w:rsid w:val="00E21B23"/>
    <w:rsid w:val="00E21CB6"/>
    <w:rsid w:val="00E21F63"/>
    <w:rsid w:val="00E22B63"/>
    <w:rsid w:val="00E242F1"/>
    <w:rsid w:val="00E3026B"/>
    <w:rsid w:val="00E306BD"/>
    <w:rsid w:val="00E30DD9"/>
    <w:rsid w:val="00E31EB2"/>
    <w:rsid w:val="00E32932"/>
    <w:rsid w:val="00E32B0A"/>
    <w:rsid w:val="00E3384A"/>
    <w:rsid w:val="00E33B9B"/>
    <w:rsid w:val="00E37A86"/>
    <w:rsid w:val="00E4184A"/>
    <w:rsid w:val="00E41B8B"/>
    <w:rsid w:val="00E432D0"/>
    <w:rsid w:val="00E435CF"/>
    <w:rsid w:val="00E448FF"/>
    <w:rsid w:val="00E46147"/>
    <w:rsid w:val="00E515D7"/>
    <w:rsid w:val="00E51E5B"/>
    <w:rsid w:val="00E53005"/>
    <w:rsid w:val="00E545BF"/>
    <w:rsid w:val="00E601CC"/>
    <w:rsid w:val="00E6043E"/>
    <w:rsid w:val="00E61012"/>
    <w:rsid w:val="00E616FF"/>
    <w:rsid w:val="00E6423D"/>
    <w:rsid w:val="00E64C9F"/>
    <w:rsid w:val="00E65212"/>
    <w:rsid w:val="00E658C4"/>
    <w:rsid w:val="00E65A38"/>
    <w:rsid w:val="00E66234"/>
    <w:rsid w:val="00E67FF7"/>
    <w:rsid w:val="00E700A0"/>
    <w:rsid w:val="00E70E3F"/>
    <w:rsid w:val="00E72341"/>
    <w:rsid w:val="00E73150"/>
    <w:rsid w:val="00E736AD"/>
    <w:rsid w:val="00E73A3A"/>
    <w:rsid w:val="00E759AD"/>
    <w:rsid w:val="00E8120E"/>
    <w:rsid w:val="00E81CCD"/>
    <w:rsid w:val="00E8512F"/>
    <w:rsid w:val="00E87F6C"/>
    <w:rsid w:val="00E9183A"/>
    <w:rsid w:val="00E9202B"/>
    <w:rsid w:val="00E92FAE"/>
    <w:rsid w:val="00E94E9A"/>
    <w:rsid w:val="00E958D2"/>
    <w:rsid w:val="00E967E9"/>
    <w:rsid w:val="00E971EB"/>
    <w:rsid w:val="00E972FD"/>
    <w:rsid w:val="00EA0301"/>
    <w:rsid w:val="00EA08A4"/>
    <w:rsid w:val="00EA0ED5"/>
    <w:rsid w:val="00EA4B13"/>
    <w:rsid w:val="00EA4E5E"/>
    <w:rsid w:val="00EA6856"/>
    <w:rsid w:val="00EA69C6"/>
    <w:rsid w:val="00EA75DA"/>
    <w:rsid w:val="00EB0313"/>
    <w:rsid w:val="00EB0468"/>
    <w:rsid w:val="00EB549A"/>
    <w:rsid w:val="00EB6E97"/>
    <w:rsid w:val="00EC346A"/>
    <w:rsid w:val="00EC3E6D"/>
    <w:rsid w:val="00EC4121"/>
    <w:rsid w:val="00EC4B16"/>
    <w:rsid w:val="00EC64D7"/>
    <w:rsid w:val="00EC755A"/>
    <w:rsid w:val="00EC7A64"/>
    <w:rsid w:val="00ED0357"/>
    <w:rsid w:val="00ED0A2D"/>
    <w:rsid w:val="00ED0A51"/>
    <w:rsid w:val="00ED1FB6"/>
    <w:rsid w:val="00ED457D"/>
    <w:rsid w:val="00ED5005"/>
    <w:rsid w:val="00ED5084"/>
    <w:rsid w:val="00ED552C"/>
    <w:rsid w:val="00ED667E"/>
    <w:rsid w:val="00ED6BE9"/>
    <w:rsid w:val="00EE0CEC"/>
    <w:rsid w:val="00EE35D2"/>
    <w:rsid w:val="00EE3884"/>
    <w:rsid w:val="00EE3ADB"/>
    <w:rsid w:val="00EE5727"/>
    <w:rsid w:val="00EE6038"/>
    <w:rsid w:val="00EF0169"/>
    <w:rsid w:val="00EF1F71"/>
    <w:rsid w:val="00EF323B"/>
    <w:rsid w:val="00EF48F2"/>
    <w:rsid w:val="00EF62A3"/>
    <w:rsid w:val="00EF6806"/>
    <w:rsid w:val="00EF6E18"/>
    <w:rsid w:val="00EF7A38"/>
    <w:rsid w:val="00EF7B3B"/>
    <w:rsid w:val="00F00A69"/>
    <w:rsid w:val="00F020C6"/>
    <w:rsid w:val="00F020E4"/>
    <w:rsid w:val="00F0225D"/>
    <w:rsid w:val="00F05BE0"/>
    <w:rsid w:val="00F06450"/>
    <w:rsid w:val="00F103F8"/>
    <w:rsid w:val="00F11410"/>
    <w:rsid w:val="00F12191"/>
    <w:rsid w:val="00F130EF"/>
    <w:rsid w:val="00F220BD"/>
    <w:rsid w:val="00F24ED7"/>
    <w:rsid w:val="00F255FE"/>
    <w:rsid w:val="00F25D6A"/>
    <w:rsid w:val="00F25F0B"/>
    <w:rsid w:val="00F264CC"/>
    <w:rsid w:val="00F26519"/>
    <w:rsid w:val="00F30049"/>
    <w:rsid w:val="00F32532"/>
    <w:rsid w:val="00F334C3"/>
    <w:rsid w:val="00F33546"/>
    <w:rsid w:val="00F3528C"/>
    <w:rsid w:val="00F401A5"/>
    <w:rsid w:val="00F40DEF"/>
    <w:rsid w:val="00F456ED"/>
    <w:rsid w:val="00F456F1"/>
    <w:rsid w:val="00F46EEF"/>
    <w:rsid w:val="00F473BE"/>
    <w:rsid w:val="00F47E7D"/>
    <w:rsid w:val="00F50B6D"/>
    <w:rsid w:val="00F52B62"/>
    <w:rsid w:val="00F52CE3"/>
    <w:rsid w:val="00F52F46"/>
    <w:rsid w:val="00F53046"/>
    <w:rsid w:val="00F53C20"/>
    <w:rsid w:val="00F53F84"/>
    <w:rsid w:val="00F5486A"/>
    <w:rsid w:val="00F54CA0"/>
    <w:rsid w:val="00F55162"/>
    <w:rsid w:val="00F6087A"/>
    <w:rsid w:val="00F613F0"/>
    <w:rsid w:val="00F626F4"/>
    <w:rsid w:val="00F6427E"/>
    <w:rsid w:val="00F645DD"/>
    <w:rsid w:val="00F6483F"/>
    <w:rsid w:val="00F657AF"/>
    <w:rsid w:val="00F65BB7"/>
    <w:rsid w:val="00F66427"/>
    <w:rsid w:val="00F70334"/>
    <w:rsid w:val="00F70C12"/>
    <w:rsid w:val="00F73871"/>
    <w:rsid w:val="00F7570F"/>
    <w:rsid w:val="00F75C70"/>
    <w:rsid w:val="00F76D31"/>
    <w:rsid w:val="00F77924"/>
    <w:rsid w:val="00F77E04"/>
    <w:rsid w:val="00F812DA"/>
    <w:rsid w:val="00F8148B"/>
    <w:rsid w:val="00F8150F"/>
    <w:rsid w:val="00F8170A"/>
    <w:rsid w:val="00F83A9D"/>
    <w:rsid w:val="00F8409F"/>
    <w:rsid w:val="00F906BE"/>
    <w:rsid w:val="00F922AF"/>
    <w:rsid w:val="00F92587"/>
    <w:rsid w:val="00F93EB6"/>
    <w:rsid w:val="00F95EFD"/>
    <w:rsid w:val="00F96263"/>
    <w:rsid w:val="00F96C04"/>
    <w:rsid w:val="00F9775A"/>
    <w:rsid w:val="00F977CB"/>
    <w:rsid w:val="00F979AD"/>
    <w:rsid w:val="00F97D05"/>
    <w:rsid w:val="00FA0115"/>
    <w:rsid w:val="00FA0E6E"/>
    <w:rsid w:val="00FA16A9"/>
    <w:rsid w:val="00FA188B"/>
    <w:rsid w:val="00FA1B59"/>
    <w:rsid w:val="00FA1DFB"/>
    <w:rsid w:val="00FA2180"/>
    <w:rsid w:val="00FA7164"/>
    <w:rsid w:val="00FB0078"/>
    <w:rsid w:val="00FB0B77"/>
    <w:rsid w:val="00FB0E9C"/>
    <w:rsid w:val="00FB12F0"/>
    <w:rsid w:val="00FB226B"/>
    <w:rsid w:val="00FB2290"/>
    <w:rsid w:val="00FB30D5"/>
    <w:rsid w:val="00FB4D57"/>
    <w:rsid w:val="00FB6A46"/>
    <w:rsid w:val="00FB724E"/>
    <w:rsid w:val="00FC0E09"/>
    <w:rsid w:val="00FC2B6B"/>
    <w:rsid w:val="00FC3825"/>
    <w:rsid w:val="00FC4AFC"/>
    <w:rsid w:val="00FC63BB"/>
    <w:rsid w:val="00FC6AFE"/>
    <w:rsid w:val="00FC71B6"/>
    <w:rsid w:val="00FC779E"/>
    <w:rsid w:val="00FD1941"/>
    <w:rsid w:val="00FD23EC"/>
    <w:rsid w:val="00FD384D"/>
    <w:rsid w:val="00FD3F84"/>
    <w:rsid w:val="00FD4FD7"/>
    <w:rsid w:val="00FD60AA"/>
    <w:rsid w:val="00FD6655"/>
    <w:rsid w:val="00FD6849"/>
    <w:rsid w:val="00FE23DE"/>
    <w:rsid w:val="00FE2DAB"/>
    <w:rsid w:val="00FE3178"/>
    <w:rsid w:val="00FE332D"/>
    <w:rsid w:val="00FE34B2"/>
    <w:rsid w:val="00FE3508"/>
    <w:rsid w:val="00FE365C"/>
    <w:rsid w:val="00FE39FF"/>
    <w:rsid w:val="00FE50A4"/>
    <w:rsid w:val="00FE52C8"/>
    <w:rsid w:val="00FE5B42"/>
    <w:rsid w:val="00FE78EA"/>
    <w:rsid w:val="00FF03F6"/>
    <w:rsid w:val="00FF0611"/>
    <w:rsid w:val="00FF08F5"/>
    <w:rsid w:val="00FF1D33"/>
    <w:rsid w:val="00FF2576"/>
    <w:rsid w:val="00FF2F1E"/>
    <w:rsid w:val="00FF44E4"/>
    <w:rsid w:val="00FF4E4D"/>
    <w:rsid w:val="00FF6BBE"/>
    <w:rsid w:val="00FF75D7"/>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573C397"/>
  <w15:docId w15:val="{C52BA73F-AE81-47A2-A2E0-B572EF01D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C51C52"/>
    <w:pPr>
      <w:keepNext/>
      <w:numPr>
        <w:numId w:val="22"/>
      </w:numPr>
      <w:snapToGrid w:val="0"/>
      <w:spacing w:after="57" w:line="280" w:lineRule="atLeast"/>
      <w:outlineLvl w:val="0"/>
    </w:pPr>
    <w:rPr>
      <w:rFonts w:ascii="Arial" w:eastAsia="ＭＳ 明朝" w:hAnsi="Arial" w:cs="Times New Roman"/>
      <w:b/>
      <w:caps/>
      <w:sz w:val="28"/>
      <w:szCs w:val="28"/>
      <w:lang w:val="en-US" w:eastAsia="ja-JP"/>
    </w:rPr>
  </w:style>
  <w:style w:type="paragraph" w:styleId="2">
    <w:name w:val="heading 2"/>
    <w:basedOn w:val="a"/>
    <w:next w:val="a"/>
    <w:link w:val="20"/>
    <w:uiPriority w:val="9"/>
    <w:qFormat/>
    <w:rsid w:val="00C51C52"/>
    <w:pPr>
      <w:keepNext/>
      <w:numPr>
        <w:ilvl w:val="1"/>
        <w:numId w:val="22"/>
      </w:numPr>
      <w:snapToGrid w:val="0"/>
      <w:spacing w:after="57" w:line="280" w:lineRule="atLeast"/>
      <w:outlineLvl w:val="1"/>
    </w:pPr>
    <w:rPr>
      <w:rFonts w:ascii="Arial" w:eastAsia="ＭＳ 明朝" w:hAnsi="Arial" w:cs="Times New Roman"/>
      <w:b/>
      <w:sz w:val="26"/>
      <w:szCs w:val="20"/>
      <w:lang w:val="en-US" w:eastAsia="ja-JP"/>
    </w:rPr>
  </w:style>
  <w:style w:type="paragraph" w:styleId="3">
    <w:name w:val="heading 3"/>
    <w:basedOn w:val="a"/>
    <w:next w:val="a"/>
    <w:link w:val="30"/>
    <w:uiPriority w:val="9"/>
    <w:qFormat/>
    <w:rsid w:val="00C51C52"/>
    <w:pPr>
      <w:keepNext/>
      <w:numPr>
        <w:ilvl w:val="2"/>
        <w:numId w:val="22"/>
      </w:numPr>
      <w:snapToGrid w:val="0"/>
      <w:spacing w:after="57" w:line="280" w:lineRule="atLeast"/>
      <w:outlineLvl w:val="2"/>
    </w:pPr>
    <w:rPr>
      <w:rFonts w:ascii="Arial" w:eastAsia="ＭＳ 明朝" w:hAnsi="Arial" w:cs="Times New Roman"/>
      <w:b/>
      <w:sz w:val="24"/>
      <w:szCs w:val="20"/>
      <w:lang w:val="en-US" w:eastAsia="ja-JP"/>
    </w:rPr>
  </w:style>
  <w:style w:type="paragraph" w:styleId="4">
    <w:name w:val="heading 4"/>
    <w:basedOn w:val="a"/>
    <w:next w:val="a"/>
    <w:link w:val="40"/>
    <w:uiPriority w:val="9"/>
    <w:qFormat/>
    <w:rsid w:val="00C51C52"/>
    <w:pPr>
      <w:keepNext/>
      <w:numPr>
        <w:ilvl w:val="3"/>
        <w:numId w:val="22"/>
      </w:numPr>
      <w:snapToGrid w:val="0"/>
      <w:spacing w:after="57" w:line="280" w:lineRule="atLeast"/>
      <w:outlineLvl w:val="3"/>
    </w:pPr>
    <w:rPr>
      <w:rFonts w:ascii="Arial" w:eastAsia="ＭＳ 明朝" w:hAnsi="Arial" w:cs="Times New Roman"/>
      <w:b/>
      <w:i/>
      <w:sz w:val="24"/>
      <w:szCs w:val="20"/>
      <w:lang w:val="en-US" w:eastAsia="ja-JP"/>
    </w:rPr>
  </w:style>
  <w:style w:type="paragraph" w:styleId="9">
    <w:name w:val="heading 9"/>
    <w:basedOn w:val="a"/>
    <w:next w:val="a"/>
    <w:link w:val="90"/>
    <w:uiPriority w:val="9"/>
    <w:qFormat/>
    <w:rsid w:val="00C51C52"/>
    <w:pPr>
      <w:keepNext/>
      <w:numPr>
        <w:ilvl w:val="8"/>
        <w:numId w:val="22"/>
      </w:numPr>
      <w:spacing w:before="113" w:after="57" w:line="280" w:lineRule="atLeast"/>
      <w:outlineLvl w:val="8"/>
    </w:pPr>
    <w:rPr>
      <w:rFonts w:ascii="Arial" w:eastAsia="ＭＳ 明朝" w:hAnsi="Arial" w:cs="Times New Roman"/>
      <w:b/>
      <w:i/>
      <w:sz w:val="24"/>
      <w:szCs w:val="20"/>
      <w:lang w:val="en-US"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F3CD4"/>
    <w:pPr>
      <w:ind w:left="720"/>
      <w:contextualSpacing/>
    </w:pPr>
  </w:style>
  <w:style w:type="character" w:styleId="a4">
    <w:name w:val="annotation reference"/>
    <w:basedOn w:val="a0"/>
    <w:uiPriority w:val="99"/>
    <w:unhideWhenUsed/>
    <w:rsid w:val="00294B80"/>
    <w:rPr>
      <w:sz w:val="16"/>
      <w:szCs w:val="16"/>
    </w:rPr>
  </w:style>
  <w:style w:type="paragraph" w:styleId="a5">
    <w:name w:val="annotation text"/>
    <w:basedOn w:val="a"/>
    <w:link w:val="a6"/>
    <w:uiPriority w:val="99"/>
    <w:unhideWhenUsed/>
    <w:rsid w:val="00294B80"/>
    <w:pPr>
      <w:spacing w:line="240" w:lineRule="auto"/>
    </w:pPr>
    <w:rPr>
      <w:sz w:val="20"/>
      <w:szCs w:val="20"/>
    </w:rPr>
  </w:style>
  <w:style w:type="character" w:customStyle="1" w:styleId="a6">
    <w:name w:val="コメント文字列 (文字)"/>
    <w:basedOn w:val="a0"/>
    <w:link w:val="a5"/>
    <w:uiPriority w:val="99"/>
    <w:rsid w:val="00294B80"/>
    <w:rPr>
      <w:sz w:val="20"/>
      <w:szCs w:val="20"/>
    </w:rPr>
  </w:style>
  <w:style w:type="paragraph" w:styleId="a7">
    <w:name w:val="annotation subject"/>
    <w:basedOn w:val="a5"/>
    <w:next w:val="a5"/>
    <w:link w:val="a8"/>
    <w:uiPriority w:val="99"/>
    <w:semiHidden/>
    <w:unhideWhenUsed/>
    <w:rsid w:val="00294B80"/>
    <w:rPr>
      <w:b/>
      <w:bCs/>
    </w:rPr>
  </w:style>
  <w:style w:type="character" w:customStyle="1" w:styleId="a8">
    <w:name w:val="コメント内容 (文字)"/>
    <w:basedOn w:val="a6"/>
    <w:link w:val="a7"/>
    <w:uiPriority w:val="99"/>
    <w:semiHidden/>
    <w:rsid w:val="00294B80"/>
    <w:rPr>
      <w:b/>
      <w:bCs/>
      <w:sz w:val="20"/>
      <w:szCs w:val="20"/>
    </w:rPr>
  </w:style>
  <w:style w:type="paragraph" w:styleId="a9">
    <w:name w:val="Balloon Text"/>
    <w:basedOn w:val="a"/>
    <w:link w:val="aa"/>
    <w:uiPriority w:val="99"/>
    <w:semiHidden/>
    <w:unhideWhenUsed/>
    <w:rsid w:val="00294B80"/>
    <w:pPr>
      <w:spacing w:after="0" w:line="240" w:lineRule="auto"/>
    </w:pPr>
    <w:rPr>
      <w:rFonts w:ascii="Segoe UI" w:hAnsi="Segoe UI" w:cs="Segoe UI"/>
      <w:sz w:val="18"/>
      <w:szCs w:val="18"/>
    </w:rPr>
  </w:style>
  <w:style w:type="character" w:customStyle="1" w:styleId="aa">
    <w:name w:val="吹き出し (文字)"/>
    <w:basedOn w:val="a0"/>
    <w:link w:val="a9"/>
    <w:uiPriority w:val="99"/>
    <w:semiHidden/>
    <w:rsid w:val="00294B80"/>
    <w:rPr>
      <w:rFonts w:ascii="Segoe UI" w:hAnsi="Segoe UI" w:cs="Segoe UI"/>
      <w:sz w:val="18"/>
      <w:szCs w:val="18"/>
    </w:rPr>
  </w:style>
  <w:style w:type="table" w:styleId="ab">
    <w:name w:val="Table Grid"/>
    <w:basedOn w:val="a1"/>
    <w:uiPriority w:val="39"/>
    <w:rsid w:val="000F4C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0F4C8D"/>
    <w:pPr>
      <w:tabs>
        <w:tab w:val="center" w:pos="4680"/>
        <w:tab w:val="right" w:pos="9360"/>
      </w:tabs>
      <w:spacing w:after="0" w:line="240" w:lineRule="auto"/>
    </w:pPr>
  </w:style>
  <w:style w:type="character" w:customStyle="1" w:styleId="ad">
    <w:name w:val="ヘッダー (文字)"/>
    <w:basedOn w:val="a0"/>
    <w:link w:val="ac"/>
    <w:uiPriority w:val="99"/>
    <w:rsid w:val="000F4C8D"/>
  </w:style>
  <w:style w:type="paragraph" w:styleId="ae">
    <w:name w:val="footer"/>
    <w:basedOn w:val="a"/>
    <w:link w:val="af"/>
    <w:uiPriority w:val="99"/>
    <w:unhideWhenUsed/>
    <w:rsid w:val="000F4C8D"/>
    <w:pPr>
      <w:tabs>
        <w:tab w:val="center" w:pos="4680"/>
        <w:tab w:val="right" w:pos="9360"/>
      </w:tabs>
      <w:spacing w:after="0" w:line="240" w:lineRule="auto"/>
    </w:pPr>
  </w:style>
  <w:style w:type="character" w:customStyle="1" w:styleId="af">
    <w:name w:val="フッター (文字)"/>
    <w:basedOn w:val="a0"/>
    <w:link w:val="ae"/>
    <w:uiPriority w:val="99"/>
    <w:rsid w:val="000F4C8D"/>
  </w:style>
  <w:style w:type="character" w:styleId="af0">
    <w:name w:val="Hyperlink"/>
    <w:basedOn w:val="a0"/>
    <w:uiPriority w:val="99"/>
    <w:unhideWhenUsed/>
    <w:rsid w:val="00416990"/>
    <w:rPr>
      <w:color w:val="0563C1" w:themeColor="hyperlink"/>
      <w:u w:val="single"/>
    </w:rPr>
  </w:style>
  <w:style w:type="paragraph" w:styleId="HTML">
    <w:name w:val="HTML Preformatted"/>
    <w:basedOn w:val="a"/>
    <w:link w:val="HTML0"/>
    <w:uiPriority w:val="99"/>
    <w:semiHidden/>
    <w:unhideWhenUsed/>
    <w:rsid w:val="00A559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0">
    <w:name w:val="HTML 書式付き (文字)"/>
    <w:basedOn w:val="a0"/>
    <w:link w:val="HTML"/>
    <w:uiPriority w:val="99"/>
    <w:semiHidden/>
    <w:rsid w:val="00A559C0"/>
    <w:rPr>
      <w:rFonts w:ascii="Courier New" w:eastAsia="Times New Roman" w:hAnsi="Courier New" w:cs="Courier New"/>
      <w:sz w:val="20"/>
      <w:szCs w:val="20"/>
      <w:lang w:val="en-US"/>
    </w:rPr>
  </w:style>
  <w:style w:type="character" w:styleId="af1">
    <w:name w:val="FollowedHyperlink"/>
    <w:basedOn w:val="a0"/>
    <w:uiPriority w:val="99"/>
    <w:semiHidden/>
    <w:unhideWhenUsed/>
    <w:rsid w:val="00A72357"/>
    <w:rPr>
      <w:color w:val="954F72" w:themeColor="followedHyperlink"/>
      <w:u w:val="single"/>
    </w:rPr>
  </w:style>
  <w:style w:type="paragraph" w:customStyle="1" w:styleId="Default">
    <w:name w:val="Default"/>
    <w:rsid w:val="00D80F30"/>
    <w:pPr>
      <w:autoSpaceDE w:val="0"/>
      <w:autoSpaceDN w:val="0"/>
      <w:adjustRightInd w:val="0"/>
      <w:spacing w:after="0" w:line="240" w:lineRule="auto"/>
    </w:pPr>
    <w:rPr>
      <w:rFonts w:ascii="Times New Roman" w:hAnsi="Times New Roman" w:cs="Times New Roman"/>
      <w:color w:val="000000"/>
      <w:sz w:val="24"/>
      <w:szCs w:val="24"/>
      <w:lang w:val="en-US"/>
    </w:rPr>
  </w:style>
  <w:style w:type="paragraph" w:customStyle="1" w:styleId="TextRef">
    <w:name w:val="Text:Ref"/>
    <w:basedOn w:val="a"/>
    <w:rsid w:val="00106287"/>
    <w:pPr>
      <w:widowControl w:val="0"/>
      <w:numPr>
        <w:numId w:val="15"/>
      </w:numPr>
      <w:tabs>
        <w:tab w:val="left" w:pos="425"/>
      </w:tabs>
      <w:autoSpaceDN w:val="0"/>
      <w:spacing w:after="0" w:line="240" w:lineRule="auto"/>
      <w:jc w:val="both"/>
    </w:pPr>
    <w:rPr>
      <w:rFonts w:ascii="Times New Roman" w:eastAsia="ＭＳ 明朝" w:hAnsi="Times New Roman" w:cs="Times New Roman"/>
      <w:kern w:val="2"/>
      <w:sz w:val="21"/>
      <w:szCs w:val="20"/>
      <w:lang w:val="en-US" w:eastAsia="ja-JP"/>
    </w:rPr>
  </w:style>
  <w:style w:type="character" w:customStyle="1" w:styleId="current-selection">
    <w:name w:val="current-selection"/>
    <w:basedOn w:val="a0"/>
    <w:rsid w:val="0088660A"/>
  </w:style>
  <w:style w:type="character" w:customStyle="1" w:styleId="af2">
    <w:name w:val="_"/>
    <w:basedOn w:val="a0"/>
    <w:rsid w:val="0088660A"/>
  </w:style>
  <w:style w:type="paragraph" w:styleId="af3">
    <w:name w:val="Revision"/>
    <w:hidden/>
    <w:uiPriority w:val="99"/>
    <w:semiHidden/>
    <w:rsid w:val="00833522"/>
    <w:pPr>
      <w:spacing w:after="0" w:line="240" w:lineRule="auto"/>
    </w:pPr>
  </w:style>
  <w:style w:type="paragraph" w:customStyle="1" w:styleId="Title1">
    <w:name w:val="Title1"/>
    <w:basedOn w:val="a"/>
    <w:rsid w:val="00B60131"/>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esc">
    <w:name w:val="desc"/>
    <w:basedOn w:val="a"/>
    <w:rsid w:val="00B60131"/>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etails">
    <w:name w:val="details"/>
    <w:basedOn w:val="a"/>
    <w:rsid w:val="00B60131"/>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jrnl">
    <w:name w:val="jrnl"/>
    <w:basedOn w:val="a0"/>
    <w:rsid w:val="00B60131"/>
  </w:style>
  <w:style w:type="character" w:styleId="af4">
    <w:name w:val="line number"/>
    <w:basedOn w:val="a0"/>
    <w:uiPriority w:val="99"/>
    <w:semiHidden/>
    <w:unhideWhenUsed/>
    <w:rsid w:val="005C6E5E"/>
  </w:style>
  <w:style w:type="paragraph" w:customStyle="1" w:styleId="Text">
    <w:name w:val="Text"/>
    <w:link w:val="TextZchn"/>
    <w:uiPriority w:val="99"/>
    <w:qFormat/>
    <w:rsid w:val="00C70D48"/>
    <w:pPr>
      <w:spacing w:line="360" w:lineRule="auto"/>
    </w:pPr>
    <w:rPr>
      <w:rFonts w:ascii="Times New Roman" w:eastAsiaTheme="minorHAnsi" w:hAnsi="Times New Roman" w:cs="Times New Roman"/>
      <w:sz w:val="24"/>
      <w:szCs w:val="24"/>
      <w:lang w:val="en-US"/>
    </w:rPr>
  </w:style>
  <w:style w:type="character" w:customStyle="1" w:styleId="TextZchn">
    <w:name w:val="Text Zchn"/>
    <w:basedOn w:val="a0"/>
    <w:link w:val="Text"/>
    <w:uiPriority w:val="99"/>
    <w:rsid w:val="00C70D48"/>
    <w:rPr>
      <w:rFonts w:ascii="Times New Roman" w:eastAsiaTheme="minorHAnsi" w:hAnsi="Times New Roman" w:cs="Times New Roman"/>
      <w:sz w:val="24"/>
      <w:szCs w:val="24"/>
      <w:lang w:val="en-US"/>
    </w:rPr>
  </w:style>
  <w:style w:type="character" w:customStyle="1" w:styleId="apple-converted-space">
    <w:name w:val="apple-converted-space"/>
    <w:basedOn w:val="a0"/>
    <w:rsid w:val="00C47DAC"/>
  </w:style>
  <w:style w:type="character" w:customStyle="1" w:styleId="highlight">
    <w:name w:val="highlight"/>
    <w:basedOn w:val="a0"/>
    <w:rsid w:val="00C47DAC"/>
  </w:style>
  <w:style w:type="paragraph" w:styleId="Web">
    <w:name w:val="Normal (Web)"/>
    <w:basedOn w:val="a"/>
    <w:uiPriority w:val="99"/>
    <w:semiHidden/>
    <w:unhideWhenUsed/>
    <w:rsid w:val="00290B40"/>
    <w:pPr>
      <w:spacing w:before="100" w:beforeAutospacing="1" w:after="100" w:afterAutospacing="1" w:line="240" w:lineRule="auto"/>
    </w:pPr>
    <w:rPr>
      <w:rFonts w:ascii="Times New Roman" w:hAnsi="Times New Roman" w:cs="Times New Roman"/>
      <w:sz w:val="24"/>
      <w:szCs w:val="24"/>
      <w:lang w:val="en-US"/>
    </w:rPr>
  </w:style>
  <w:style w:type="character" w:customStyle="1" w:styleId="10">
    <w:name w:val="見出し 1 (文字)"/>
    <w:basedOn w:val="a0"/>
    <w:link w:val="1"/>
    <w:uiPriority w:val="9"/>
    <w:rsid w:val="00C51C52"/>
    <w:rPr>
      <w:rFonts w:ascii="Arial" w:eastAsia="ＭＳ 明朝" w:hAnsi="Arial" w:cs="Times New Roman"/>
      <w:b/>
      <w:caps/>
      <w:sz w:val="28"/>
      <w:szCs w:val="28"/>
      <w:lang w:val="en-US" w:eastAsia="ja-JP"/>
    </w:rPr>
  </w:style>
  <w:style w:type="character" w:customStyle="1" w:styleId="20">
    <w:name w:val="見出し 2 (文字)"/>
    <w:basedOn w:val="a0"/>
    <w:link w:val="2"/>
    <w:uiPriority w:val="9"/>
    <w:rsid w:val="00C51C52"/>
    <w:rPr>
      <w:rFonts w:ascii="Arial" w:eastAsia="ＭＳ 明朝" w:hAnsi="Arial" w:cs="Times New Roman"/>
      <w:b/>
      <w:sz w:val="26"/>
      <w:szCs w:val="20"/>
      <w:lang w:val="en-US" w:eastAsia="ja-JP"/>
    </w:rPr>
  </w:style>
  <w:style w:type="character" w:customStyle="1" w:styleId="30">
    <w:name w:val="見出し 3 (文字)"/>
    <w:basedOn w:val="a0"/>
    <w:link w:val="3"/>
    <w:uiPriority w:val="9"/>
    <w:rsid w:val="00C51C52"/>
    <w:rPr>
      <w:rFonts w:ascii="Arial" w:eastAsia="ＭＳ 明朝" w:hAnsi="Arial" w:cs="Times New Roman"/>
      <w:b/>
      <w:sz w:val="24"/>
      <w:szCs w:val="20"/>
      <w:lang w:val="en-US" w:eastAsia="ja-JP"/>
    </w:rPr>
  </w:style>
  <w:style w:type="character" w:customStyle="1" w:styleId="40">
    <w:name w:val="見出し 4 (文字)"/>
    <w:basedOn w:val="a0"/>
    <w:link w:val="4"/>
    <w:uiPriority w:val="9"/>
    <w:rsid w:val="00C51C52"/>
    <w:rPr>
      <w:rFonts w:ascii="Arial" w:eastAsia="ＭＳ 明朝" w:hAnsi="Arial" w:cs="Times New Roman"/>
      <w:b/>
      <w:i/>
      <w:sz w:val="24"/>
      <w:szCs w:val="20"/>
      <w:lang w:val="en-US" w:eastAsia="ja-JP"/>
    </w:rPr>
  </w:style>
  <w:style w:type="character" w:customStyle="1" w:styleId="90">
    <w:name w:val="見出し 9 (文字)"/>
    <w:basedOn w:val="a0"/>
    <w:link w:val="9"/>
    <w:uiPriority w:val="9"/>
    <w:rsid w:val="00C51C52"/>
    <w:rPr>
      <w:rFonts w:ascii="Arial" w:eastAsia="ＭＳ 明朝" w:hAnsi="Arial" w:cs="Times New Roman"/>
      <w:b/>
      <w:i/>
      <w:sz w:val="24"/>
      <w:szCs w:val="20"/>
      <w:lang w:val="en-US" w:eastAsia="ja-JP"/>
    </w:rPr>
  </w:style>
  <w:style w:type="paragraph" w:customStyle="1" w:styleId="TextAlpha">
    <w:name w:val="Text:Alpha"/>
    <w:basedOn w:val="a"/>
    <w:rsid w:val="00C51C52"/>
    <w:pPr>
      <w:numPr>
        <w:ilvl w:val="7"/>
        <w:numId w:val="22"/>
      </w:numPr>
      <w:spacing w:after="0" w:line="280" w:lineRule="atLeast"/>
      <w:jc w:val="both"/>
    </w:pPr>
    <w:rPr>
      <w:rFonts w:ascii="Times New Roman" w:eastAsia="ＭＳ 明朝" w:hAnsi="Times New Roman" w:cs="Times New Roman"/>
      <w:sz w:val="24"/>
      <w:szCs w:val="20"/>
      <w:lang w:val="en-US" w:eastAsia="ja-JP"/>
    </w:rPr>
  </w:style>
  <w:style w:type="paragraph" w:customStyle="1" w:styleId="TextNum">
    <w:name w:val="Text:Num"/>
    <w:basedOn w:val="a"/>
    <w:rsid w:val="00C51C52"/>
    <w:pPr>
      <w:numPr>
        <w:ilvl w:val="4"/>
        <w:numId w:val="22"/>
      </w:numPr>
      <w:spacing w:after="0" w:line="280" w:lineRule="atLeast"/>
      <w:jc w:val="both"/>
    </w:pPr>
    <w:rPr>
      <w:rFonts w:ascii="Times New Roman" w:eastAsia="ＭＳ 明朝" w:hAnsi="Times New Roman" w:cs="Times New Roman"/>
      <w:sz w:val="24"/>
      <w:szCs w:val="20"/>
      <w:lang w:val="en-US" w:eastAsia="ja-JP"/>
    </w:rPr>
  </w:style>
  <w:style w:type="paragraph" w:customStyle="1" w:styleId="TextAlphaNum">
    <w:name w:val="Text:Alpha Num"/>
    <w:basedOn w:val="a"/>
    <w:link w:val="TextAlphaNum0"/>
    <w:rsid w:val="00C51C52"/>
    <w:pPr>
      <w:numPr>
        <w:ilvl w:val="5"/>
        <w:numId w:val="22"/>
      </w:numPr>
      <w:spacing w:after="0" w:line="280" w:lineRule="atLeast"/>
      <w:ind w:left="720" w:hanging="380"/>
      <w:jc w:val="both"/>
    </w:pPr>
    <w:rPr>
      <w:rFonts w:ascii="Times New Roman" w:eastAsia="ＭＳ 明朝" w:hAnsi="Times New Roman" w:cs="Times New Roman"/>
      <w:sz w:val="24"/>
      <w:szCs w:val="20"/>
      <w:lang w:val="en-US" w:eastAsia="ja-JP"/>
    </w:rPr>
  </w:style>
  <w:style w:type="paragraph" w:customStyle="1" w:styleId="TextRomaNum">
    <w:name w:val="Text:Roma Num"/>
    <w:basedOn w:val="a"/>
    <w:rsid w:val="00C51C52"/>
    <w:pPr>
      <w:numPr>
        <w:ilvl w:val="6"/>
        <w:numId w:val="22"/>
      </w:numPr>
      <w:tabs>
        <w:tab w:val="clear" w:pos="2665"/>
        <w:tab w:val="left" w:pos="1303"/>
      </w:tabs>
      <w:spacing w:after="0" w:line="280" w:lineRule="atLeast"/>
      <w:ind w:left="1304" w:hanging="624"/>
      <w:jc w:val="both"/>
    </w:pPr>
    <w:rPr>
      <w:rFonts w:ascii="Times New Roman" w:eastAsia="ＭＳ 明朝" w:hAnsi="Times New Roman" w:cs="Times New Roman"/>
      <w:sz w:val="24"/>
      <w:szCs w:val="20"/>
      <w:lang w:val="en-US" w:eastAsia="ja-JP"/>
    </w:rPr>
  </w:style>
  <w:style w:type="character" w:customStyle="1" w:styleId="TextAlphaNum0">
    <w:name w:val="Text:Alpha Num (文字) (文字)"/>
    <w:basedOn w:val="a0"/>
    <w:link w:val="TextAlphaNum"/>
    <w:rsid w:val="00C51C52"/>
    <w:rPr>
      <w:rFonts w:ascii="Times New Roman" w:eastAsia="ＭＳ 明朝" w:hAnsi="Times New Roman" w:cs="Times New Roman"/>
      <w:sz w:val="24"/>
      <w:szCs w:val="20"/>
      <w:lang w:val="en-US" w:eastAsia="ja-JP"/>
    </w:rPr>
  </w:style>
  <w:style w:type="paragraph" w:customStyle="1" w:styleId="EndNoteBibliographyTitle">
    <w:name w:val="EndNote Bibliography Title"/>
    <w:basedOn w:val="a"/>
    <w:link w:val="EndNoteBibliographyTitleChar"/>
    <w:rsid w:val="00054895"/>
    <w:pPr>
      <w:spacing w:after="0"/>
      <w:jc w:val="center"/>
    </w:pPr>
    <w:rPr>
      <w:rFonts w:ascii="Times New Roman" w:hAnsi="Times New Roman" w:cs="Times New Roman"/>
      <w:noProof/>
      <w:sz w:val="24"/>
      <w:lang w:val="en-US"/>
    </w:rPr>
  </w:style>
  <w:style w:type="character" w:customStyle="1" w:styleId="EndNoteBibliographyTitleChar">
    <w:name w:val="EndNote Bibliography Title Char"/>
    <w:basedOn w:val="a0"/>
    <w:link w:val="EndNoteBibliographyTitle"/>
    <w:rsid w:val="00054895"/>
    <w:rPr>
      <w:rFonts w:ascii="Times New Roman" w:hAnsi="Times New Roman" w:cs="Times New Roman"/>
      <w:noProof/>
      <w:sz w:val="24"/>
      <w:lang w:val="en-US"/>
    </w:rPr>
  </w:style>
  <w:style w:type="paragraph" w:customStyle="1" w:styleId="EndNoteBibliography">
    <w:name w:val="EndNote Bibliography"/>
    <w:basedOn w:val="a"/>
    <w:link w:val="EndNoteBibliographyChar"/>
    <w:rsid w:val="00054895"/>
    <w:pPr>
      <w:spacing w:line="480" w:lineRule="auto"/>
    </w:pPr>
    <w:rPr>
      <w:rFonts w:ascii="Times New Roman" w:hAnsi="Times New Roman" w:cs="Times New Roman"/>
      <w:noProof/>
      <w:sz w:val="24"/>
      <w:lang w:val="en-US"/>
    </w:rPr>
  </w:style>
  <w:style w:type="character" w:customStyle="1" w:styleId="EndNoteBibliographyChar">
    <w:name w:val="EndNote Bibliography Char"/>
    <w:basedOn w:val="a0"/>
    <w:link w:val="EndNoteBibliography"/>
    <w:rsid w:val="00054895"/>
    <w:rPr>
      <w:rFonts w:ascii="Times New Roman" w:hAnsi="Times New Roman" w:cs="Times New Roman"/>
      <w:noProof/>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069472">
      <w:bodyDiv w:val="1"/>
      <w:marLeft w:val="0"/>
      <w:marRight w:val="0"/>
      <w:marTop w:val="0"/>
      <w:marBottom w:val="0"/>
      <w:divBdr>
        <w:top w:val="none" w:sz="0" w:space="0" w:color="auto"/>
        <w:left w:val="none" w:sz="0" w:space="0" w:color="auto"/>
        <w:bottom w:val="none" w:sz="0" w:space="0" w:color="auto"/>
        <w:right w:val="none" w:sz="0" w:space="0" w:color="auto"/>
      </w:divBdr>
    </w:div>
    <w:div w:id="325863626">
      <w:bodyDiv w:val="1"/>
      <w:marLeft w:val="0"/>
      <w:marRight w:val="0"/>
      <w:marTop w:val="0"/>
      <w:marBottom w:val="0"/>
      <w:divBdr>
        <w:top w:val="none" w:sz="0" w:space="0" w:color="auto"/>
        <w:left w:val="none" w:sz="0" w:space="0" w:color="auto"/>
        <w:bottom w:val="none" w:sz="0" w:space="0" w:color="auto"/>
        <w:right w:val="none" w:sz="0" w:space="0" w:color="auto"/>
      </w:divBdr>
    </w:div>
    <w:div w:id="350959401">
      <w:bodyDiv w:val="1"/>
      <w:marLeft w:val="0"/>
      <w:marRight w:val="0"/>
      <w:marTop w:val="0"/>
      <w:marBottom w:val="0"/>
      <w:divBdr>
        <w:top w:val="none" w:sz="0" w:space="0" w:color="auto"/>
        <w:left w:val="none" w:sz="0" w:space="0" w:color="auto"/>
        <w:bottom w:val="none" w:sz="0" w:space="0" w:color="auto"/>
        <w:right w:val="none" w:sz="0" w:space="0" w:color="auto"/>
      </w:divBdr>
    </w:div>
    <w:div w:id="497500814">
      <w:bodyDiv w:val="1"/>
      <w:marLeft w:val="0"/>
      <w:marRight w:val="0"/>
      <w:marTop w:val="0"/>
      <w:marBottom w:val="0"/>
      <w:divBdr>
        <w:top w:val="none" w:sz="0" w:space="0" w:color="auto"/>
        <w:left w:val="none" w:sz="0" w:space="0" w:color="auto"/>
        <w:bottom w:val="none" w:sz="0" w:space="0" w:color="auto"/>
        <w:right w:val="none" w:sz="0" w:space="0" w:color="auto"/>
      </w:divBdr>
    </w:div>
    <w:div w:id="546643612">
      <w:bodyDiv w:val="1"/>
      <w:marLeft w:val="0"/>
      <w:marRight w:val="0"/>
      <w:marTop w:val="0"/>
      <w:marBottom w:val="0"/>
      <w:divBdr>
        <w:top w:val="none" w:sz="0" w:space="0" w:color="auto"/>
        <w:left w:val="none" w:sz="0" w:space="0" w:color="auto"/>
        <w:bottom w:val="none" w:sz="0" w:space="0" w:color="auto"/>
        <w:right w:val="none" w:sz="0" w:space="0" w:color="auto"/>
      </w:divBdr>
    </w:div>
    <w:div w:id="555704497">
      <w:bodyDiv w:val="1"/>
      <w:marLeft w:val="0"/>
      <w:marRight w:val="0"/>
      <w:marTop w:val="0"/>
      <w:marBottom w:val="0"/>
      <w:divBdr>
        <w:top w:val="none" w:sz="0" w:space="0" w:color="auto"/>
        <w:left w:val="none" w:sz="0" w:space="0" w:color="auto"/>
        <w:bottom w:val="none" w:sz="0" w:space="0" w:color="auto"/>
        <w:right w:val="none" w:sz="0" w:space="0" w:color="auto"/>
      </w:divBdr>
    </w:div>
    <w:div w:id="652413693">
      <w:bodyDiv w:val="1"/>
      <w:marLeft w:val="0"/>
      <w:marRight w:val="0"/>
      <w:marTop w:val="0"/>
      <w:marBottom w:val="0"/>
      <w:divBdr>
        <w:top w:val="none" w:sz="0" w:space="0" w:color="auto"/>
        <w:left w:val="none" w:sz="0" w:space="0" w:color="auto"/>
        <w:bottom w:val="none" w:sz="0" w:space="0" w:color="auto"/>
        <w:right w:val="none" w:sz="0" w:space="0" w:color="auto"/>
      </w:divBdr>
      <w:divsChild>
        <w:div w:id="336542703">
          <w:marLeft w:val="0"/>
          <w:marRight w:val="0"/>
          <w:marTop w:val="0"/>
          <w:marBottom w:val="0"/>
          <w:divBdr>
            <w:top w:val="none" w:sz="0" w:space="0" w:color="auto"/>
            <w:left w:val="none" w:sz="0" w:space="0" w:color="auto"/>
            <w:bottom w:val="none" w:sz="0" w:space="0" w:color="auto"/>
            <w:right w:val="none" w:sz="0" w:space="0" w:color="auto"/>
          </w:divBdr>
          <w:divsChild>
            <w:div w:id="1310095139">
              <w:marLeft w:val="0"/>
              <w:marRight w:val="60"/>
              <w:marTop w:val="0"/>
              <w:marBottom w:val="0"/>
              <w:divBdr>
                <w:top w:val="none" w:sz="0" w:space="0" w:color="auto"/>
                <w:left w:val="none" w:sz="0" w:space="0" w:color="auto"/>
                <w:bottom w:val="none" w:sz="0" w:space="0" w:color="auto"/>
                <w:right w:val="none" w:sz="0" w:space="0" w:color="auto"/>
              </w:divBdr>
              <w:divsChild>
                <w:div w:id="147988263">
                  <w:marLeft w:val="0"/>
                  <w:marRight w:val="0"/>
                  <w:marTop w:val="0"/>
                  <w:marBottom w:val="120"/>
                  <w:divBdr>
                    <w:top w:val="single" w:sz="6" w:space="0" w:color="C0C0C0"/>
                    <w:left w:val="single" w:sz="6" w:space="0" w:color="D9D9D9"/>
                    <w:bottom w:val="single" w:sz="6" w:space="0" w:color="D9D9D9"/>
                    <w:right w:val="single" w:sz="6" w:space="0" w:color="D9D9D9"/>
                  </w:divBdr>
                  <w:divsChild>
                    <w:div w:id="1941840438">
                      <w:marLeft w:val="0"/>
                      <w:marRight w:val="0"/>
                      <w:marTop w:val="0"/>
                      <w:marBottom w:val="0"/>
                      <w:divBdr>
                        <w:top w:val="none" w:sz="0" w:space="0" w:color="auto"/>
                        <w:left w:val="none" w:sz="0" w:space="0" w:color="auto"/>
                        <w:bottom w:val="none" w:sz="0" w:space="0" w:color="auto"/>
                        <w:right w:val="none" w:sz="0" w:space="0" w:color="auto"/>
                      </w:divBdr>
                    </w:div>
                    <w:div w:id="1955088259">
                      <w:marLeft w:val="0"/>
                      <w:marRight w:val="0"/>
                      <w:marTop w:val="0"/>
                      <w:marBottom w:val="0"/>
                      <w:divBdr>
                        <w:top w:val="none" w:sz="0" w:space="0" w:color="auto"/>
                        <w:left w:val="none" w:sz="0" w:space="0" w:color="auto"/>
                        <w:bottom w:val="none" w:sz="0" w:space="0" w:color="auto"/>
                        <w:right w:val="none" w:sz="0" w:space="0" w:color="auto"/>
                      </w:divBdr>
                    </w:div>
                  </w:divsChild>
                </w:div>
                <w:div w:id="749425575">
                  <w:marLeft w:val="0"/>
                  <w:marRight w:val="0"/>
                  <w:marTop w:val="180"/>
                  <w:marBottom w:val="240"/>
                  <w:divBdr>
                    <w:top w:val="none" w:sz="0" w:space="0" w:color="auto"/>
                    <w:left w:val="none" w:sz="0" w:space="0" w:color="auto"/>
                    <w:bottom w:val="none" w:sz="0" w:space="0" w:color="auto"/>
                    <w:right w:val="none" w:sz="0" w:space="0" w:color="auto"/>
                  </w:divBdr>
                </w:div>
              </w:divsChild>
            </w:div>
          </w:divsChild>
        </w:div>
        <w:div w:id="290094730">
          <w:marLeft w:val="0"/>
          <w:marRight w:val="0"/>
          <w:marTop w:val="0"/>
          <w:marBottom w:val="0"/>
          <w:divBdr>
            <w:top w:val="none" w:sz="0" w:space="0" w:color="auto"/>
            <w:left w:val="none" w:sz="0" w:space="0" w:color="auto"/>
            <w:bottom w:val="none" w:sz="0" w:space="0" w:color="auto"/>
            <w:right w:val="none" w:sz="0" w:space="0" w:color="auto"/>
          </w:divBdr>
          <w:divsChild>
            <w:div w:id="1032148284">
              <w:marLeft w:val="60"/>
              <w:marRight w:val="0"/>
              <w:marTop w:val="0"/>
              <w:marBottom w:val="0"/>
              <w:divBdr>
                <w:top w:val="none" w:sz="0" w:space="0" w:color="auto"/>
                <w:left w:val="none" w:sz="0" w:space="0" w:color="auto"/>
                <w:bottom w:val="none" w:sz="0" w:space="0" w:color="auto"/>
                <w:right w:val="none" w:sz="0" w:space="0" w:color="auto"/>
              </w:divBdr>
              <w:divsChild>
                <w:div w:id="894387860">
                  <w:marLeft w:val="0"/>
                  <w:marRight w:val="0"/>
                  <w:marTop w:val="0"/>
                  <w:marBottom w:val="0"/>
                  <w:divBdr>
                    <w:top w:val="none" w:sz="0" w:space="0" w:color="auto"/>
                    <w:left w:val="none" w:sz="0" w:space="0" w:color="auto"/>
                    <w:bottom w:val="none" w:sz="0" w:space="0" w:color="auto"/>
                    <w:right w:val="none" w:sz="0" w:space="0" w:color="auto"/>
                  </w:divBdr>
                  <w:divsChild>
                    <w:div w:id="1589582628">
                      <w:marLeft w:val="0"/>
                      <w:marRight w:val="0"/>
                      <w:marTop w:val="0"/>
                      <w:marBottom w:val="120"/>
                      <w:divBdr>
                        <w:top w:val="single" w:sz="6" w:space="0" w:color="F5F5F5"/>
                        <w:left w:val="single" w:sz="6" w:space="0" w:color="F5F5F5"/>
                        <w:bottom w:val="single" w:sz="6" w:space="0" w:color="F5F5F5"/>
                        <w:right w:val="single" w:sz="6" w:space="0" w:color="F5F5F5"/>
                      </w:divBdr>
                      <w:divsChild>
                        <w:div w:id="777336842">
                          <w:marLeft w:val="0"/>
                          <w:marRight w:val="0"/>
                          <w:marTop w:val="0"/>
                          <w:marBottom w:val="0"/>
                          <w:divBdr>
                            <w:top w:val="none" w:sz="0" w:space="0" w:color="auto"/>
                            <w:left w:val="none" w:sz="0" w:space="0" w:color="auto"/>
                            <w:bottom w:val="none" w:sz="0" w:space="0" w:color="auto"/>
                            <w:right w:val="none" w:sz="0" w:space="0" w:color="auto"/>
                          </w:divBdr>
                          <w:divsChild>
                            <w:div w:id="148859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5314697">
      <w:bodyDiv w:val="1"/>
      <w:marLeft w:val="0"/>
      <w:marRight w:val="0"/>
      <w:marTop w:val="0"/>
      <w:marBottom w:val="0"/>
      <w:divBdr>
        <w:top w:val="none" w:sz="0" w:space="0" w:color="auto"/>
        <w:left w:val="none" w:sz="0" w:space="0" w:color="auto"/>
        <w:bottom w:val="none" w:sz="0" w:space="0" w:color="auto"/>
        <w:right w:val="none" w:sz="0" w:space="0" w:color="auto"/>
      </w:divBdr>
    </w:div>
    <w:div w:id="872570352">
      <w:bodyDiv w:val="1"/>
      <w:marLeft w:val="0"/>
      <w:marRight w:val="0"/>
      <w:marTop w:val="0"/>
      <w:marBottom w:val="0"/>
      <w:divBdr>
        <w:top w:val="none" w:sz="0" w:space="0" w:color="auto"/>
        <w:left w:val="none" w:sz="0" w:space="0" w:color="auto"/>
        <w:bottom w:val="none" w:sz="0" w:space="0" w:color="auto"/>
        <w:right w:val="none" w:sz="0" w:space="0" w:color="auto"/>
      </w:divBdr>
    </w:div>
    <w:div w:id="892935231">
      <w:bodyDiv w:val="1"/>
      <w:marLeft w:val="0"/>
      <w:marRight w:val="0"/>
      <w:marTop w:val="0"/>
      <w:marBottom w:val="0"/>
      <w:divBdr>
        <w:top w:val="none" w:sz="0" w:space="0" w:color="auto"/>
        <w:left w:val="none" w:sz="0" w:space="0" w:color="auto"/>
        <w:bottom w:val="none" w:sz="0" w:space="0" w:color="auto"/>
        <w:right w:val="none" w:sz="0" w:space="0" w:color="auto"/>
      </w:divBdr>
      <w:divsChild>
        <w:div w:id="225453187">
          <w:marLeft w:val="0"/>
          <w:marRight w:val="0"/>
          <w:marTop w:val="0"/>
          <w:marBottom w:val="0"/>
          <w:divBdr>
            <w:top w:val="none" w:sz="0" w:space="0" w:color="auto"/>
            <w:left w:val="none" w:sz="0" w:space="0" w:color="auto"/>
            <w:bottom w:val="none" w:sz="0" w:space="0" w:color="auto"/>
            <w:right w:val="none" w:sz="0" w:space="0" w:color="auto"/>
          </w:divBdr>
        </w:div>
        <w:div w:id="1434084008">
          <w:marLeft w:val="0"/>
          <w:marRight w:val="0"/>
          <w:marTop w:val="0"/>
          <w:marBottom w:val="0"/>
          <w:divBdr>
            <w:top w:val="none" w:sz="0" w:space="0" w:color="auto"/>
            <w:left w:val="none" w:sz="0" w:space="0" w:color="auto"/>
            <w:bottom w:val="none" w:sz="0" w:space="0" w:color="auto"/>
            <w:right w:val="none" w:sz="0" w:space="0" w:color="auto"/>
          </w:divBdr>
        </w:div>
        <w:div w:id="2107577718">
          <w:marLeft w:val="0"/>
          <w:marRight w:val="0"/>
          <w:marTop w:val="0"/>
          <w:marBottom w:val="0"/>
          <w:divBdr>
            <w:top w:val="none" w:sz="0" w:space="0" w:color="auto"/>
            <w:left w:val="none" w:sz="0" w:space="0" w:color="auto"/>
            <w:bottom w:val="none" w:sz="0" w:space="0" w:color="auto"/>
            <w:right w:val="none" w:sz="0" w:space="0" w:color="auto"/>
          </w:divBdr>
        </w:div>
        <w:div w:id="1518500571">
          <w:marLeft w:val="0"/>
          <w:marRight w:val="0"/>
          <w:marTop w:val="0"/>
          <w:marBottom w:val="0"/>
          <w:divBdr>
            <w:top w:val="none" w:sz="0" w:space="0" w:color="auto"/>
            <w:left w:val="none" w:sz="0" w:space="0" w:color="auto"/>
            <w:bottom w:val="none" w:sz="0" w:space="0" w:color="auto"/>
            <w:right w:val="none" w:sz="0" w:space="0" w:color="auto"/>
          </w:divBdr>
        </w:div>
        <w:div w:id="1528908967">
          <w:marLeft w:val="0"/>
          <w:marRight w:val="0"/>
          <w:marTop w:val="0"/>
          <w:marBottom w:val="0"/>
          <w:divBdr>
            <w:top w:val="none" w:sz="0" w:space="0" w:color="auto"/>
            <w:left w:val="none" w:sz="0" w:space="0" w:color="auto"/>
            <w:bottom w:val="none" w:sz="0" w:space="0" w:color="auto"/>
            <w:right w:val="none" w:sz="0" w:space="0" w:color="auto"/>
          </w:divBdr>
        </w:div>
        <w:div w:id="1153986392">
          <w:marLeft w:val="0"/>
          <w:marRight w:val="0"/>
          <w:marTop w:val="0"/>
          <w:marBottom w:val="0"/>
          <w:divBdr>
            <w:top w:val="none" w:sz="0" w:space="0" w:color="auto"/>
            <w:left w:val="none" w:sz="0" w:space="0" w:color="auto"/>
            <w:bottom w:val="none" w:sz="0" w:space="0" w:color="auto"/>
            <w:right w:val="none" w:sz="0" w:space="0" w:color="auto"/>
          </w:divBdr>
        </w:div>
      </w:divsChild>
    </w:div>
    <w:div w:id="1184326782">
      <w:bodyDiv w:val="1"/>
      <w:marLeft w:val="0"/>
      <w:marRight w:val="0"/>
      <w:marTop w:val="0"/>
      <w:marBottom w:val="0"/>
      <w:divBdr>
        <w:top w:val="none" w:sz="0" w:space="0" w:color="auto"/>
        <w:left w:val="none" w:sz="0" w:space="0" w:color="auto"/>
        <w:bottom w:val="none" w:sz="0" w:space="0" w:color="auto"/>
        <w:right w:val="none" w:sz="0" w:space="0" w:color="auto"/>
      </w:divBdr>
    </w:div>
    <w:div w:id="1197893937">
      <w:bodyDiv w:val="1"/>
      <w:marLeft w:val="0"/>
      <w:marRight w:val="0"/>
      <w:marTop w:val="0"/>
      <w:marBottom w:val="0"/>
      <w:divBdr>
        <w:top w:val="none" w:sz="0" w:space="0" w:color="auto"/>
        <w:left w:val="none" w:sz="0" w:space="0" w:color="auto"/>
        <w:bottom w:val="none" w:sz="0" w:space="0" w:color="auto"/>
        <w:right w:val="none" w:sz="0" w:space="0" w:color="auto"/>
      </w:divBdr>
      <w:divsChild>
        <w:div w:id="486553516">
          <w:marLeft w:val="0"/>
          <w:marRight w:val="0"/>
          <w:marTop w:val="34"/>
          <w:marBottom w:val="34"/>
          <w:divBdr>
            <w:top w:val="none" w:sz="0" w:space="0" w:color="auto"/>
            <w:left w:val="none" w:sz="0" w:space="0" w:color="auto"/>
            <w:bottom w:val="none" w:sz="0" w:space="0" w:color="auto"/>
            <w:right w:val="none" w:sz="0" w:space="0" w:color="auto"/>
          </w:divBdr>
        </w:div>
      </w:divsChild>
    </w:div>
    <w:div w:id="1619723448">
      <w:bodyDiv w:val="1"/>
      <w:marLeft w:val="0"/>
      <w:marRight w:val="0"/>
      <w:marTop w:val="0"/>
      <w:marBottom w:val="0"/>
      <w:divBdr>
        <w:top w:val="none" w:sz="0" w:space="0" w:color="auto"/>
        <w:left w:val="none" w:sz="0" w:space="0" w:color="auto"/>
        <w:bottom w:val="none" w:sz="0" w:space="0" w:color="auto"/>
        <w:right w:val="none" w:sz="0" w:space="0" w:color="auto"/>
      </w:divBdr>
      <w:divsChild>
        <w:div w:id="243028259">
          <w:marLeft w:val="0"/>
          <w:marRight w:val="0"/>
          <w:marTop w:val="0"/>
          <w:marBottom w:val="0"/>
          <w:divBdr>
            <w:top w:val="none" w:sz="0" w:space="0" w:color="auto"/>
            <w:left w:val="none" w:sz="0" w:space="0" w:color="auto"/>
            <w:bottom w:val="none" w:sz="0" w:space="0" w:color="auto"/>
            <w:right w:val="none" w:sz="0" w:space="0" w:color="auto"/>
          </w:divBdr>
        </w:div>
        <w:div w:id="1157039084">
          <w:marLeft w:val="0"/>
          <w:marRight w:val="0"/>
          <w:marTop w:val="0"/>
          <w:marBottom w:val="0"/>
          <w:divBdr>
            <w:top w:val="none" w:sz="0" w:space="0" w:color="auto"/>
            <w:left w:val="none" w:sz="0" w:space="0" w:color="auto"/>
            <w:bottom w:val="none" w:sz="0" w:space="0" w:color="auto"/>
            <w:right w:val="none" w:sz="0" w:space="0" w:color="auto"/>
          </w:divBdr>
        </w:div>
        <w:div w:id="239604865">
          <w:marLeft w:val="0"/>
          <w:marRight w:val="0"/>
          <w:marTop w:val="0"/>
          <w:marBottom w:val="0"/>
          <w:divBdr>
            <w:top w:val="none" w:sz="0" w:space="0" w:color="auto"/>
            <w:left w:val="none" w:sz="0" w:space="0" w:color="auto"/>
            <w:bottom w:val="none" w:sz="0" w:space="0" w:color="auto"/>
            <w:right w:val="none" w:sz="0" w:space="0" w:color="auto"/>
          </w:divBdr>
        </w:div>
        <w:div w:id="618681182">
          <w:marLeft w:val="0"/>
          <w:marRight w:val="0"/>
          <w:marTop w:val="0"/>
          <w:marBottom w:val="0"/>
          <w:divBdr>
            <w:top w:val="none" w:sz="0" w:space="0" w:color="auto"/>
            <w:left w:val="none" w:sz="0" w:space="0" w:color="auto"/>
            <w:bottom w:val="none" w:sz="0" w:space="0" w:color="auto"/>
            <w:right w:val="none" w:sz="0" w:space="0" w:color="auto"/>
          </w:divBdr>
        </w:div>
      </w:divsChild>
    </w:div>
    <w:div w:id="1672368866">
      <w:bodyDiv w:val="1"/>
      <w:marLeft w:val="0"/>
      <w:marRight w:val="0"/>
      <w:marTop w:val="0"/>
      <w:marBottom w:val="0"/>
      <w:divBdr>
        <w:top w:val="none" w:sz="0" w:space="0" w:color="auto"/>
        <w:left w:val="none" w:sz="0" w:space="0" w:color="auto"/>
        <w:bottom w:val="none" w:sz="0" w:space="0" w:color="auto"/>
        <w:right w:val="none" w:sz="0" w:space="0" w:color="auto"/>
      </w:divBdr>
      <w:divsChild>
        <w:div w:id="1881437789">
          <w:marLeft w:val="0"/>
          <w:marRight w:val="0"/>
          <w:marTop w:val="0"/>
          <w:marBottom w:val="0"/>
          <w:divBdr>
            <w:top w:val="none" w:sz="0" w:space="0" w:color="auto"/>
            <w:left w:val="none" w:sz="0" w:space="0" w:color="auto"/>
            <w:bottom w:val="none" w:sz="0" w:space="0" w:color="auto"/>
            <w:right w:val="none" w:sz="0" w:space="0" w:color="auto"/>
          </w:divBdr>
        </w:div>
        <w:div w:id="1763792548">
          <w:marLeft w:val="0"/>
          <w:marRight w:val="0"/>
          <w:marTop w:val="0"/>
          <w:marBottom w:val="0"/>
          <w:divBdr>
            <w:top w:val="none" w:sz="0" w:space="0" w:color="auto"/>
            <w:left w:val="none" w:sz="0" w:space="0" w:color="auto"/>
            <w:bottom w:val="none" w:sz="0" w:space="0" w:color="auto"/>
            <w:right w:val="none" w:sz="0" w:space="0" w:color="auto"/>
          </w:divBdr>
        </w:div>
      </w:divsChild>
    </w:div>
    <w:div w:id="1723673527">
      <w:bodyDiv w:val="1"/>
      <w:marLeft w:val="0"/>
      <w:marRight w:val="0"/>
      <w:marTop w:val="0"/>
      <w:marBottom w:val="0"/>
      <w:divBdr>
        <w:top w:val="none" w:sz="0" w:space="0" w:color="auto"/>
        <w:left w:val="none" w:sz="0" w:space="0" w:color="auto"/>
        <w:bottom w:val="none" w:sz="0" w:space="0" w:color="auto"/>
        <w:right w:val="none" w:sz="0" w:space="0" w:color="auto"/>
      </w:divBdr>
    </w:div>
    <w:div w:id="1993363146">
      <w:bodyDiv w:val="1"/>
      <w:marLeft w:val="0"/>
      <w:marRight w:val="0"/>
      <w:marTop w:val="0"/>
      <w:marBottom w:val="0"/>
      <w:divBdr>
        <w:top w:val="none" w:sz="0" w:space="0" w:color="auto"/>
        <w:left w:val="none" w:sz="0" w:space="0" w:color="auto"/>
        <w:bottom w:val="none" w:sz="0" w:space="0" w:color="auto"/>
        <w:right w:val="none" w:sz="0" w:space="0" w:color="auto"/>
      </w:divBdr>
      <w:divsChild>
        <w:div w:id="1914201410">
          <w:marLeft w:val="0"/>
          <w:marRight w:val="0"/>
          <w:marTop w:val="0"/>
          <w:marBottom w:val="0"/>
          <w:divBdr>
            <w:top w:val="none" w:sz="0" w:space="0" w:color="auto"/>
            <w:left w:val="none" w:sz="0" w:space="0" w:color="auto"/>
            <w:bottom w:val="none" w:sz="0" w:space="0" w:color="auto"/>
            <w:right w:val="none" w:sz="0" w:space="0" w:color="auto"/>
          </w:divBdr>
        </w:div>
        <w:div w:id="10812898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6442E4-3126-4796-BE0E-FF9551594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11</Pages>
  <Words>2045</Words>
  <Characters>11659</Characters>
  <Application>Microsoft Office Word</Application>
  <DocSecurity>0</DocSecurity>
  <Lines>97</Lines>
  <Paragraphs>27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13677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Sara Duggan</dc:creator>
  <cp:lastModifiedBy>成田勇介(臨床開発業務部人財育成Ｇ)</cp:lastModifiedBy>
  <cp:revision>5</cp:revision>
  <cp:lastPrinted>2017-11-07T20:04:00Z</cp:lastPrinted>
  <dcterms:created xsi:type="dcterms:W3CDTF">2017-11-13T01:27:00Z</dcterms:created>
  <dcterms:modified xsi:type="dcterms:W3CDTF">2017-11-21T02:08:00Z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-756100688</vt:i4>
  </property>
</Properties>
</file>