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680"/>
        <w:tblW w:w="6629" w:type="dxa"/>
        <w:tblLook w:val="04A0" w:firstRow="1" w:lastRow="0" w:firstColumn="1" w:lastColumn="0" w:noHBand="0" w:noVBand="1"/>
      </w:tblPr>
      <w:tblGrid>
        <w:gridCol w:w="1297"/>
        <w:gridCol w:w="954"/>
        <w:gridCol w:w="4378"/>
      </w:tblGrid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2D6649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Network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p-value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GO Term Function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A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0.004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complement activation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B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0.001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Innate immune response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C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0.001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TLR4 signalling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D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0.001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proofErr w:type="spellStart"/>
            <w:r w:rsidRPr="00761167">
              <w:rPr>
                <w:sz w:val="24"/>
              </w:rPr>
              <w:t>Wnt</w:t>
            </w:r>
            <w:proofErr w:type="spellEnd"/>
            <w:r w:rsidRPr="00761167">
              <w:rPr>
                <w:sz w:val="24"/>
              </w:rPr>
              <w:t xml:space="preserve"> signalling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E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0.001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Oxidative stress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F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0.004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 xml:space="preserve">T cell </w:t>
            </w:r>
            <w:proofErr w:type="spellStart"/>
            <w:r w:rsidRPr="00761167">
              <w:rPr>
                <w:sz w:val="24"/>
              </w:rPr>
              <w:t>costimulation</w:t>
            </w:r>
            <w:proofErr w:type="spellEnd"/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G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0.006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Sensory perception of pain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H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0.021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Lipoxin metabolic process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I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0.005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 xml:space="preserve">MMP9 </w:t>
            </w:r>
            <w:proofErr w:type="spellStart"/>
            <w:r w:rsidRPr="00761167">
              <w:rPr>
                <w:sz w:val="24"/>
              </w:rPr>
              <w:t>signaling</w:t>
            </w:r>
            <w:proofErr w:type="spellEnd"/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J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0.001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Negative regulation of GTPase activity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K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0.001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Apoptosis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L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0.001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 xml:space="preserve">Fc-epsilon receptor </w:t>
            </w:r>
            <w:proofErr w:type="spellStart"/>
            <w:r w:rsidRPr="00761167">
              <w:rPr>
                <w:sz w:val="24"/>
              </w:rPr>
              <w:t>signaling</w:t>
            </w:r>
            <w:proofErr w:type="spellEnd"/>
            <w:r w:rsidRPr="00761167">
              <w:rPr>
                <w:sz w:val="24"/>
              </w:rPr>
              <w:t xml:space="preserve"> pathway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M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0.001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Cell polarity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N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0.011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Negative regulation of calcium ion import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O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0.009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Receptor internalization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P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0.001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Complement activation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Q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0.003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Regulation of protein transport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R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0.002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 xml:space="preserve">IGF </w:t>
            </w:r>
            <w:proofErr w:type="spellStart"/>
            <w:r w:rsidRPr="00761167">
              <w:rPr>
                <w:sz w:val="24"/>
              </w:rPr>
              <w:t>signaling</w:t>
            </w:r>
            <w:proofErr w:type="spellEnd"/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S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0.015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Cell adhesion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T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0.001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Heterotypic cell-cell adhesion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U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0.003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 xml:space="preserve">Chemokine-mediated </w:t>
            </w:r>
            <w:proofErr w:type="spellStart"/>
            <w:r w:rsidRPr="00761167">
              <w:rPr>
                <w:sz w:val="24"/>
              </w:rPr>
              <w:t>signaling</w:t>
            </w:r>
            <w:proofErr w:type="spellEnd"/>
            <w:r w:rsidRPr="00761167">
              <w:rPr>
                <w:sz w:val="24"/>
              </w:rPr>
              <w:t xml:space="preserve"> pathway</w:t>
            </w:r>
          </w:p>
        </w:tc>
      </w:tr>
      <w:tr w:rsidR="00D465FC" w:rsidRPr="00D465FC" w:rsidTr="00761167">
        <w:trPr>
          <w:trHeight w:val="264"/>
        </w:trPr>
        <w:tc>
          <w:tcPr>
            <w:tcW w:w="1297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V</w:t>
            </w:r>
          </w:p>
        </w:tc>
        <w:tc>
          <w:tcPr>
            <w:tcW w:w="954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0.001</w:t>
            </w:r>
          </w:p>
        </w:tc>
        <w:tc>
          <w:tcPr>
            <w:tcW w:w="4378" w:type="dxa"/>
            <w:noWrap/>
            <w:hideMark/>
          </w:tcPr>
          <w:p w:rsidR="00D465FC" w:rsidRPr="00761167" w:rsidRDefault="00D465FC" w:rsidP="00DB333F">
            <w:pPr>
              <w:rPr>
                <w:sz w:val="24"/>
              </w:rPr>
            </w:pPr>
            <w:r w:rsidRPr="00761167">
              <w:rPr>
                <w:sz w:val="24"/>
              </w:rPr>
              <w:t>Positive regulation of cholesterol efflux</w:t>
            </w:r>
          </w:p>
        </w:tc>
      </w:tr>
    </w:tbl>
    <w:p w:rsidR="00DB333F" w:rsidRPr="00DB333F" w:rsidRDefault="00DB333F" w:rsidP="00DB333F">
      <w:pPr>
        <w:tabs>
          <w:tab w:val="left" w:pos="0"/>
        </w:tabs>
        <w:suppressAutoHyphens/>
        <w:spacing w:after="0" w:line="360" w:lineRule="auto"/>
        <w:outlineLvl w:val="1"/>
        <w:rPr>
          <w:rFonts w:ascii="Liberation Serif" w:eastAsia="DejaVu Sans" w:hAnsi="Liberation Serif" w:cs="FreeSans"/>
          <w:color w:val="00000A"/>
          <w:sz w:val="24"/>
          <w:szCs w:val="24"/>
          <w:lang w:eastAsia="zh-CN" w:bidi="hi-IN"/>
        </w:rPr>
      </w:pPr>
      <w:r w:rsidRPr="00DB333F">
        <w:rPr>
          <w:rFonts w:ascii="Times" w:eastAsia="DejaVu Sans" w:hAnsi="Times" w:cs="Arial"/>
          <w:b/>
          <w:bCs/>
          <w:color w:val="000000"/>
          <w:sz w:val="24"/>
          <w:szCs w:val="24"/>
          <w:lang w:eastAsia="zh-CN" w:bidi="hi-IN"/>
        </w:rPr>
        <w:t>Supplementary Table 6</w:t>
      </w:r>
      <w:r w:rsidRPr="00DB333F">
        <w:rPr>
          <w:rFonts w:ascii="Times" w:eastAsia="DejaVu Sans" w:hAnsi="Times" w:cs="Arial"/>
          <w:b/>
          <w:bCs/>
          <w:color w:val="00000A"/>
          <w:sz w:val="24"/>
          <w:szCs w:val="24"/>
          <w:lang w:eastAsia="zh-CN" w:bidi="hi-IN"/>
        </w:rPr>
        <w:t xml:space="preserve">: </w:t>
      </w:r>
      <w:r w:rsidR="003C2972">
        <w:rPr>
          <w:rFonts w:ascii="Times" w:eastAsia="DejaVu Sans" w:hAnsi="Times" w:cs="Arial"/>
          <w:b/>
          <w:bCs/>
          <w:color w:val="00000A"/>
          <w:sz w:val="24"/>
          <w:szCs w:val="24"/>
          <w:lang w:eastAsia="zh-CN" w:bidi="hi-IN"/>
        </w:rPr>
        <w:t xml:space="preserve">Summary of </w:t>
      </w:r>
      <w:proofErr w:type="spellStart"/>
      <w:r w:rsidR="003C2972">
        <w:rPr>
          <w:rFonts w:ascii="Times" w:eastAsia="DejaVu Sans" w:hAnsi="Times" w:cs="Arial"/>
          <w:b/>
          <w:bCs/>
          <w:color w:val="00000A"/>
          <w:sz w:val="24"/>
          <w:szCs w:val="24"/>
          <w:lang w:eastAsia="zh-CN" w:bidi="hi-IN"/>
        </w:rPr>
        <w:t>PhenomeExpress</w:t>
      </w:r>
      <w:proofErr w:type="spellEnd"/>
      <w:r w:rsidR="003C2972">
        <w:rPr>
          <w:rFonts w:ascii="Times" w:eastAsia="DejaVu Sans" w:hAnsi="Times" w:cs="Arial"/>
          <w:b/>
          <w:bCs/>
          <w:color w:val="00000A"/>
          <w:sz w:val="24"/>
          <w:szCs w:val="24"/>
          <w:lang w:eastAsia="zh-CN" w:bidi="hi-IN"/>
        </w:rPr>
        <w:t xml:space="preserve"> N</w:t>
      </w:r>
      <w:r w:rsidRPr="00DB333F">
        <w:rPr>
          <w:rFonts w:ascii="Times" w:eastAsia="DejaVu Sans" w:hAnsi="Times" w:cs="Arial"/>
          <w:b/>
          <w:bCs/>
          <w:color w:val="00000A"/>
          <w:sz w:val="24"/>
          <w:szCs w:val="24"/>
          <w:lang w:eastAsia="zh-CN" w:bidi="hi-IN"/>
        </w:rPr>
        <w:t>etworks</w:t>
      </w:r>
      <w:r>
        <w:rPr>
          <w:rFonts w:ascii="Times" w:eastAsia="DejaVu Sans" w:hAnsi="Times" w:cs="Arial"/>
          <w:b/>
          <w:bCs/>
          <w:color w:val="00000A"/>
          <w:sz w:val="24"/>
          <w:szCs w:val="24"/>
          <w:lang w:eastAsia="zh-CN" w:bidi="hi-IN"/>
        </w:rPr>
        <w:t xml:space="preserve"> (</w:t>
      </w:r>
      <w:r w:rsidR="003C2972">
        <w:rPr>
          <w:rFonts w:ascii="Times" w:eastAsia="DejaVu Sans" w:hAnsi="Times" w:cs="Arial"/>
          <w:b/>
          <w:bCs/>
          <w:color w:val="00000A"/>
          <w:sz w:val="24"/>
          <w:szCs w:val="24"/>
          <w:lang w:eastAsia="zh-CN" w:bidi="hi-IN"/>
        </w:rPr>
        <w:t xml:space="preserve">Fig 3, </w:t>
      </w:r>
      <w:proofErr w:type="spellStart"/>
      <w:r>
        <w:rPr>
          <w:rFonts w:ascii="Times" w:eastAsia="DejaVu Sans" w:hAnsi="Times" w:cs="Arial"/>
          <w:b/>
          <w:bCs/>
          <w:color w:val="00000A"/>
          <w:sz w:val="24"/>
          <w:szCs w:val="24"/>
          <w:lang w:eastAsia="zh-CN" w:bidi="hi-IN"/>
        </w:rPr>
        <w:t>Suppl</w:t>
      </w:r>
      <w:proofErr w:type="spellEnd"/>
      <w:r>
        <w:rPr>
          <w:rFonts w:ascii="Times" w:eastAsia="DejaVu Sans" w:hAnsi="Times" w:cs="Arial"/>
          <w:b/>
          <w:bCs/>
          <w:color w:val="00000A"/>
          <w:sz w:val="24"/>
          <w:szCs w:val="24"/>
          <w:lang w:eastAsia="zh-CN" w:bidi="hi-IN"/>
        </w:rPr>
        <w:t xml:space="preserve"> Fig</w:t>
      </w:r>
      <w:r w:rsidR="003C2972">
        <w:rPr>
          <w:rFonts w:ascii="Times" w:eastAsia="DejaVu Sans" w:hAnsi="Times" w:cs="Arial"/>
          <w:b/>
          <w:bCs/>
          <w:color w:val="00000A"/>
          <w:sz w:val="24"/>
          <w:szCs w:val="24"/>
          <w:lang w:eastAsia="zh-CN" w:bidi="hi-IN"/>
        </w:rPr>
        <w:t>4)</w:t>
      </w:r>
      <w:r w:rsidRPr="00DB333F">
        <w:rPr>
          <w:rFonts w:ascii="Times" w:eastAsia="DejaVu Sans" w:hAnsi="Times" w:cs="Arial"/>
          <w:bCs/>
          <w:color w:val="00000A"/>
          <w:sz w:val="24"/>
          <w:szCs w:val="24"/>
          <w:lang w:eastAsia="zh-CN" w:bidi="hi-IN"/>
        </w:rPr>
        <w:t xml:space="preserve">. </w:t>
      </w:r>
    </w:p>
    <w:p w:rsidR="00DB333F" w:rsidRPr="00DB333F" w:rsidRDefault="00DB333F" w:rsidP="00DB333F">
      <w:pPr>
        <w:tabs>
          <w:tab w:val="left" w:pos="0"/>
        </w:tabs>
        <w:suppressAutoHyphens/>
        <w:spacing w:after="0" w:line="360" w:lineRule="auto"/>
        <w:outlineLvl w:val="1"/>
        <w:rPr>
          <w:rFonts w:ascii="Liberation Serif" w:eastAsia="DejaVu Sans" w:hAnsi="Liberation Serif" w:cs="FreeSans"/>
          <w:color w:val="00000A"/>
          <w:sz w:val="24"/>
          <w:szCs w:val="24"/>
          <w:lang w:eastAsia="zh-CN" w:bidi="hi-IN"/>
        </w:rPr>
      </w:pPr>
      <w:r w:rsidRPr="00DB333F">
        <w:rPr>
          <w:rFonts w:ascii="Times" w:eastAsia="DejaVu Sans" w:hAnsi="Times" w:cs="Arial"/>
          <w:bCs/>
          <w:color w:val="00000A"/>
          <w:sz w:val="24"/>
          <w:szCs w:val="24"/>
          <w:lang w:eastAsia="zh-CN" w:bidi="hi-IN"/>
        </w:rPr>
        <w:t>Differentially</w:t>
      </w:r>
      <w:bookmarkStart w:id="0" w:name="_GoBack"/>
      <w:bookmarkEnd w:id="0"/>
      <w:r w:rsidRPr="00DB333F">
        <w:rPr>
          <w:rFonts w:ascii="Times" w:eastAsia="DejaVu Sans" w:hAnsi="Times" w:cs="Arial"/>
          <w:bCs/>
          <w:color w:val="00000A"/>
          <w:sz w:val="24"/>
          <w:szCs w:val="24"/>
          <w:lang w:eastAsia="zh-CN" w:bidi="hi-IN"/>
        </w:rPr>
        <w:t xml:space="preserve"> regulated sub-networks related to OA phenotypes. The size, empirical p</w:t>
      </w:r>
      <w:r>
        <w:rPr>
          <w:rFonts w:ascii="Times" w:eastAsia="DejaVu Sans" w:hAnsi="Times" w:cs="Arial"/>
          <w:bCs/>
          <w:color w:val="00000A"/>
          <w:sz w:val="24"/>
          <w:szCs w:val="24"/>
          <w:lang w:eastAsia="zh-CN" w:bidi="hi-IN"/>
        </w:rPr>
        <w:t xml:space="preserve">-value and </w:t>
      </w:r>
      <w:r w:rsidRPr="00DB333F">
        <w:rPr>
          <w:rFonts w:ascii="Times" w:eastAsia="DejaVu Sans" w:hAnsi="Times" w:cs="Arial"/>
          <w:bCs/>
          <w:color w:val="00000A"/>
          <w:sz w:val="24"/>
          <w:szCs w:val="24"/>
          <w:lang w:eastAsia="zh-CN" w:bidi="hi-IN"/>
        </w:rPr>
        <w:t>function is indicated for each network.</w:t>
      </w:r>
    </w:p>
    <w:p w:rsidR="00BF4E3D" w:rsidRDefault="00761167"/>
    <w:sectPr w:rsidR="00BF4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FC"/>
    <w:rsid w:val="002D6649"/>
    <w:rsid w:val="0034452F"/>
    <w:rsid w:val="003C2972"/>
    <w:rsid w:val="00761167"/>
    <w:rsid w:val="00C74F3C"/>
    <w:rsid w:val="00D465FC"/>
    <w:rsid w:val="00D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Hardingham</dc:creator>
  <cp:lastModifiedBy>Timothy Hardingham</cp:lastModifiedBy>
  <cp:revision>2</cp:revision>
  <dcterms:created xsi:type="dcterms:W3CDTF">2017-10-25T09:06:00Z</dcterms:created>
  <dcterms:modified xsi:type="dcterms:W3CDTF">2017-10-25T09:06:00Z</dcterms:modified>
</cp:coreProperties>
</file>